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DF80E" w14:textId="3B12C357" w:rsidR="006B15AB" w:rsidRPr="00EE4062" w:rsidRDefault="00BC32A8" w:rsidP="006B15AB">
      <w:pPr>
        <w:pStyle w:val="SOPLevel1"/>
        <w:rPr>
          <w:rFonts w:ascii="Times New Roman" w:hAnsi="Times New Roman" w:cs="Times New Roman"/>
          <w:szCs w:val="28"/>
        </w:rPr>
      </w:pPr>
      <w:r>
        <w:rPr>
          <w:rFonts w:ascii="Times New Roman" w:hAnsi="Times New Roman" w:cs="Times New Roman"/>
          <w:szCs w:val="28"/>
        </w:rPr>
        <w:t>HRP</w:t>
      </w:r>
      <w:r w:rsidR="006B15AB" w:rsidRPr="00EE4062">
        <w:rPr>
          <w:rFonts w:ascii="Times New Roman" w:hAnsi="Times New Roman" w:cs="Times New Roman"/>
          <w:szCs w:val="28"/>
        </w:rPr>
        <w:t>PURPOSE</w:t>
      </w:r>
    </w:p>
    <w:p w14:paraId="44B1FCB0" w14:textId="784B75E0" w:rsidR="006B15AB" w:rsidRPr="006B15AB" w:rsidRDefault="006B15AB" w:rsidP="006B15AB">
      <w:pPr>
        <w:pStyle w:val="SOPLevel2"/>
        <w:rPr>
          <w:rFonts w:ascii="Times New Roman" w:hAnsi="Times New Roman" w:cs="Times New Roman"/>
          <w:sz w:val="24"/>
          <w:szCs w:val="24"/>
        </w:rPr>
      </w:pPr>
      <w:r w:rsidRPr="006B15AB">
        <w:rPr>
          <w:rFonts w:ascii="Times New Roman" w:hAnsi="Times New Roman" w:cs="Times New Roman"/>
          <w:sz w:val="24"/>
          <w:szCs w:val="24"/>
        </w:rPr>
        <w:t xml:space="preserve">This guidance outlines the additional obligations of investigators conducting </w:t>
      </w:r>
      <w:r w:rsidR="00FA73B2">
        <w:rPr>
          <w:rFonts w:ascii="Times New Roman" w:hAnsi="Times New Roman" w:cs="Times New Roman"/>
          <w:sz w:val="24"/>
          <w:szCs w:val="24"/>
        </w:rPr>
        <w:t>Food and Drug Administration (</w:t>
      </w:r>
      <w:r w:rsidRPr="006B15AB">
        <w:rPr>
          <w:rFonts w:ascii="Times New Roman" w:hAnsi="Times New Roman" w:cs="Times New Roman"/>
          <w:sz w:val="24"/>
          <w:szCs w:val="24"/>
        </w:rPr>
        <w:t>FDA</w:t>
      </w:r>
      <w:r w:rsidR="00FA73B2">
        <w:rPr>
          <w:rFonts w:ascii="Times New Roman" w:hAnsi="Times New Roman" w:cs="Times New Roman"/>
          <w:sz w:val="24"/>
          <w:szCs w:val="24"/>
        </w:rPr>
        <w:t>)</w:t>
      </w:r>
      <w:r w:rsidRPr="006B15AB">
        <w:rPr>
          <w:rFonts w:ascii="Times New Roman" w:hAnsi="Times New Roman" w:cs="Times New Roman"/>
          <w:sz w:val="24"/>
          <w:szCs w:val="24"/>
        </w:rPr>
        <w:t xml:space="preserve"> research as defined in “</w:t>
      </w:r>
      <w:hyperlink r:id="rId10" w:history="1">
        <w:r w:rsidRPr="00484DAA">
          <w:rPr>
            <w:rStyle w:val="Hyperlink"/>
            <w:rFonts w:ascii="Times New Roman" w:hAnsi="Times New Roman" w:cs="Times New Roman"/>
            <w:sz w:val="24"/>
            <w:szCs w:val="24"/>
          </w:rPr>
          <w:t>WORKSHEET: Human Research (HRP-421)</w:t>
        </w:r>
      </w:hyperlink>
      <w:r w:rsidRPr="00484DAA">
        <w:rPr>
          <w:rFonts w:ascii="Times New Roman" w:hAnsi="Times New Roman" w:cs="Times New Roman"/>
          <w:sz w:val="24"/>
          <w:szCs w:val="24"/>
        </w:rPr>
        <w:t>.</w:t>
      </w:r>
    </w:p>
    <w:p w14:paraId="7B37D057" w14:textId="77777777" w:rsidR="006B15AB" w:rsidRPr="00EE4062" w:rsidRDefault="006B15AB" w:rsidP="006B15AB">
      <w:pPr>
        <w:pStyle w:val="SOPLevel1"/>
        <w:rPr>
          <w:rFonts w:ascii="Times New Roman" w:hAnsi="Times New Roman" w:cs="Times New Roman"/>
          <w:szCs w:val="28"/>
        </w:rPr>
      </w:pPr>
      <w:r w:rsidRPr="00EE4062">
        <w:rPr>
          <w:rFonts w:ascii="Times New Roman" w:hAnsi="Times New Roman" w:cs="Times New Roman"/>
          <w:szCs w:val="28"/>
        </w:rPr>
        <w:t>GUIDANCE</w:t>
      </w:r>
    </w:p>
    <w:p w14:paraId="274082BB" w14:textId="77777777" w:rsidR="006B15AB" w:rsidRPr="006B15AB" w:rsidRDefault="006B15AB" w:rsidP="006B15AB">
      <w:pPr>
        <w:pStyle w:val="SOPLevel2"/>
        <w:rPr>
          <w:rFonts w:ascii="Times New Roman" w:hAnsi="Times New Roman" w:cs="Times New Roman"/>
          <w:sz w:val="24"/>
          <w:szCs w:val="24"/>
        </w:rPr>
      </w:pPr>
      <w:r w:rsidRPr="006B15AB">
        <w:rPr>
          <w:rFonts w:ascii="Times New Roman" w:hAnsi="Times New Roman" w:cs="Times New Roman"/>
          <w:sz w:val="24"/>
          <w:szCs w:val="24"/>
        </w:rPr>
        <w:t>For all FDA-regulated research:</w:t>
      </w:r>
    </w:p>
    <w:p w14:paraId="70E413C7"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When a subject withdraws from a study:</w:t>
      </w:r>
    </w:p>
    <w:p w14:paraId="78D79CF2"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The data collected on the subject to the point of withdrawal remains part of the study database and may not be removed.</w:t>
      </w:r>
    </w:p>
    <w:p w14:paraId="02ACE03C"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The consent document cannot give the subject the option of having data removed.</w:t>
      </w:r>
    </w:p>
    <w:p w14:paraId="3D231C10" w14:textId="0F466FE4"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You may ask a subject who is withdrawing whether the subject wishes to provide continued follow-up and further data collection </w:t>
      </w:r>
      <w:proofErr w:type="gramStart"/>
      <w:r w:rsidRPr="006B15AB">
        <w:rPr>
          <w:rFonts w:ascii="Times New Roman" w:hAnsi="Times New Roman" w:cs="Times New Roman"/>
          <w:sz w:val="24"/>
          <w:szCs w:val="24"/>
        </w:rPr>
        <w:t>subsequent to</w:t>
      </w:r>
      <w:proofErr w:type="gramEnd"/>
      <w:r w:rsidRPr="006B15AB">
        <w:rPr>
          <w:rFonts w:ascii="Times New Roman" w:hAnsi="Times New Roman" w:cs="Times New Roman"/>
          <w:sz w:val="24"/>
          <w:szCs w:val="24"/>
        </w:rPr>
        <w:t xml:space="preserve">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w:t>
      </w:r>
      <w:r w:rsidR="00563C3F" w:rsidRPr="006B15AB">
        <w:rPr>
          <w:rFonts w:ascii="Times New Roman" w:hAnsi="Times New Roman" w:cs="Times New Roman"/>
          <w:sz w:val="24"/>
          <w:szCs w:val="24"/>
        </w:rPr>
        <w:t>review and</w:t>
      </w:r>
      <w:r w:rsidRPr="006B15AB">
        <w:rPr>
          <w:rFonts w:ascii="Times New Roman" w:hAnsi="Times New Roman" w:cs="Times New Roman"/>
          <w:sz w:val="24"/>
          <w:szCs w:val="24"/>
        </w:rPr>
        <w:t xml:space="preserve"> address the maintenance of privacy and confidentiality of the subject’s information.</w:t>
      </w:r>
    </w:p>
    <w:p w14:paraId="06F8697C"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If a subject withdraws from the interventional portion of the study, but agrees to continued follow-up of associated clinical outcome information as described in the previous bullet, you must obtain the subject’s informed consent for this limited participation in the study (assuming such a situation was not described in the original informed consent form). IRB approval of informed consent documents is required.</w:t>
      </w:r>
    </w:p>
    <w:p w14:paraId="02F37219"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If a subject withdraws from the interventional portion of a study and does not consent to continued follow-up of associated clinical outcome information, you must not access for purposes related to the study the subject’s medical record or other confidential records requiring the subject’s consent.</w:t>
      </w:r>
    </w:p>
    <w:p w14:paraId="506CD776"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You may review study data related to the participant collected prior to the subject’s withdrawal from the study, and may consult public records, such as those establishing survival status.</w:t>
      </w:r>
    </w:p>
    <w:p w14:paraId="7A92B46A"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 xml:space="preserve">The Responsible Party for a clinical trial must register the trial and submit results information. </w:t>
      </w:r>
    </w:p>
    <w:p w14:paraId="69204296" w14:textId="77E7C230"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lastRenderedPageBreak/>
        <w:t xml:space="preserve">A principal investigator of a clinical trial is the Responsible Party if the clinical trial is investigator initiated or if </w:t>
      </w:r>
      <w:r w:rsidR="00F2134F" w:rsidRPr="006B15AB">
        <w:rPr>
          <w:rFonts w:ascii="Times New Roman" w:hAnsi="Times New Roman" w:cs="Times New Roman"/>
          <w:sz w:val="24"/>
          <w:szCs w:val="24"/>
        </w:rPr>
        <w:t>so,</w:t>
      </w:r>
      <w:r w:rsidRPr="006B15AB">
        <w:rPr>
          <w:rFonts w:ascii="Times New Roman" w:hAnsi="Times New Roman" w:cs="Times New Roman"/>
          <w:sz w:val="24"/>
          <w:szCs w:val="24"/>
        </w:rPr>
        <w:t xml:space="preserve"> designated by a sponsor, grantee, contractor, or awardee.</w:t>
      </w:r>
    </w:p>
    <w:p w14:paraId="15A76CE8"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Registration is required for the following trials:</w:t>
      </w:r>
    </w:p>
    <w:p w14:paraId="5309AFC9"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Controlled clinical investigations, other than phase 1 clinical investigations, of drugs or biological products</w:t>
      </w:r>
    </w:p>
    <w:p w14:paraId="35A99201"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Controlled trials with health outcomes of devices, other than small feasibility studies</w:t>
      </w:r>
    </w:p>
    <w:p w14:paraId="4552FDFD"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Pediatric post-market surveillance required by FDA</w:t>
      </w:r>
    </w:p>
    <w:p w14:paraId="1BE6B3A5" w14:textId="5A4B3547" w:rsidR="006B15AB" w:rsidRPr="006B15AB" w:rsidRDefault="006B15AB" w:rsidP="006B15AB">
      <w:pPr>
        <w:pStyle w:val="SOPLevel2"/>
        <w:rPr>
          <w:rFonts w:ascii="Times New Roman" w:hAnsi="Times New Roman" w:cs="Times New Roman"/>
          <w:sz w:val="24"/>
          <w:szCs w:val="24"/>
        </w:rPr>
      </w:pPr>
      <w:r w:rsidRPr="006B15AB">
        <w:rPr>
          <w:rFonts w:ascii="Times New Roman" w:hAnsi="Times New Roman" w:cs="Times New Roman"/>
          <w:sz w:val="24"/>
          <w:szCs w:val="24"/>
        </w:rPr>
        <w:t xml:space="preserve">Requirements for studies conducted under an </w:t>
      </w:r>
      <w:r w:rsidR="00FA73B2">
        <w:rPr>
          <w:rFonts w:ascii="Times New Roman" w:hAnsi="Times New Roman" w:cs="Times New Roman"/>
          <w:sz w:val="24"/>
          <w:szCs w:val="24"/>
        </w:rPr>
        <w:t>Investigation New Drug (</w:t>
      </w:r>
      <w:r w:rsidRPr="006B15AB">
        <w:rPr>
          <w:rFonts w:ascii="Times New Roman" w:hAnsi="Times New Roman" w:cs="Times New Roman"/>
          <w:sz w:val="24"/>
          <w:szCs w:val="24"/>
        </w:rPr>
        <w:t>IND</w:t>
      </w:r>
      <w:r w:rsidR="00FA73B2">
        <w:rPr>
          <w:rFonts w:ascii="Times New Roman" w:hAnsi="Times New Roman" w:cs="Times New Roman"/>
          <w:sz w:val="24"/>
          <w:szCs w:val="24"/>
        </w:rPr>
        <w:t>)</w:t>
      </w:r>
    </w:p>
    <w:p w14:paraId="7C868785"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You, or any person acting on your behalf, cannot represent in a promotional context that an investigational new drug is safe or effective for the purposes for which it is under investigation or otherwise promote the drug.</w:t>
      </w:r>
    </w:p>
    <w:p w14:paraId="5009FD90"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2A516E15"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You may not commercially distribute or test market an investigational new drug.</w:t>
      </w:r>
    </w:p>
    <w:p w14:paraId="10F8DD45"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Ensure that the investigation is conducted according to the signed investigator statement, the investigational plan, and applicable regulations; for protecting the rights, safety, and welfare of subjects under your care; and for the control of drugs under investigation.</w:t>
      </w:r>
    </w:p>
    <w:p w14:paraId="364D580A"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Obtain the informed consent of each human subject to whom the drug is administered, unless:</w:t>
      </w:r>
    </w:p>
    <w:p w14:paraId="50374568"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Waived by the IRB for planned emergency research.</w:t>
      </w:r>
    </w:p>
    <w:p w14:paraId="736E9573" w14:textId="71672CB0"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Where the requirements in “</w:t>
      </w:r>
      <w:hyperlink r:id="rId11" w:history="1">
        <w:r w:rsidRPr="00484DAA">
          <w:rPr>
            <w:rStyle w:val="Hyperlink"/>
            <w:rFonts w:ascii="Times New Roman" w:hAnsi="Times New Roman" w:cs="Times New Roman"/>
            <w:sz w:val="24"/>
            <w:szCs w:val="24"/>
          </w:rPr>
          <w:t>WORKSHEET: Emergency Use - Drugs and Biologics (HRP-451)</w:t>
        </w:r>
      </w:hyperlink>
      <w:r w:rsidRPr="006B15AB">
        <w:rPr>
          <w:rFonts w:ascii="Times New Roman" w:hAnsi="Times New Roman" w:cs="Times New Roman"/>
          <w:sz w:val="24"/>
          <w:szCs w:val="24"/>
        </w:rPr>
        <w:t>” are met</w:t>
      </w:r>
    </w:p>
    <w:p w14:paraId="7468417A"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Maintain adequate records of the disposition of the drug, including dates, quantity, and use by subjects.</w:t>
      </w:r>
    </w:p>
    <w:p w14:paraId="5EA4EA51"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If the investigation is terminated, suspended, discontinued, or completed, return the unused supplies of the drug to the sponsor, or otherwise provide for disposition of the unused supplies as directed by the sponsor.</w:t>
      </w:r>
    </w:p>
    <w:p w14:paraId="77BE0F26"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lastRenderedPageBreak/>
        <w:t xml:space="preserve">Prepare and maintain adequate and accurate case histories that record all observations and other data pertinent to the investigation on </w:t>
      </w:r>
      <w:proofErr w:type="gramStart"/>
      <w:r w:rsidRPr="006B15AB">
        <w:rPr>
          <w:rFonts w:ascii="Times New Roman" w:hAnsi="Times New Roman" w:cs="Times New Roman"/>
          <w:sz w:val="24"/>
          <w:szCs w:val="24"/>
        </w:rPr>
        <w:t>each individual</w:t>
      </w:r>
      <w:proofErr w:type="gramEnd"/>
      <w:r w:rsidRPr="006B15AB">
        <w:rPr>
          <w:rFonts w:ascii="Times New Roman" w:hAnsi="Times New Roman" w:cs="Times New Roman"/>
          <w:sz w:val="24"/>
          <w:szCs w:val="24"/>
        </w:rPr>
        <w:t xml:space="preserve"> administered the investigational drug or employed as a control in the investigation.</w:t>
      </w:r>
    </w:p>
    <w:p w14:paraId="515809F5"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Case histories include the case report forms and supporting data including, for example, signed and dated consent forms and medical records including, for example, progress notes of the physician, the individual’s hospital chart(s), and the nurses’ notes.</w:t>
      </w:r>
    </w:p>
    <w:p w14:paraId="3982DE3C"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The case history for </w:t>
      </w:r>
      <w:proofErr w:type="gramStart"/>
      <w:r w:rsidRPr="006B15AB">
        <w:rPr>
          <w:rFonts w:ascii="Times New Roman" w:hAnsi="Times New Roman" w:cs="Times New Roman"/>
          <w:sz w:val="24"/>
          <w:szCs w:val="24"/>
        </w:rPr>
        <w:t>each individual</w:t>
      </w:r>
      <w:proofErr w:type="gramEnd"/>
      <w:r w:rsidRPr="006B15AB">
        <w:rPr>
          <w:rFonts w:ascii="Times New Roman" w:hAnsi="Times New Roman" w:cs="Times New Roman"/>
          <w:sz w:val="24"/>
          <w:szCs w:val="24"/>
        </w:rPr>
        <w:t xml:space="preserve"> must document that informed consent was obtained prior to participation in the study.</w:t>
      </w:r>
    </w:p>
    <w:p w14:paraId="6C9482A7"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Retain research records for the greater of:</w:t>
      </w:r>
    </w:p>
    <w:p w14:paraId="18653F39"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Three years after completion of the research</w:t>
      </w:r>
    </w:p>
    <w:p w14:paraId="7F373F9A"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For drug studies conducted under an IND, two years following the date a marketing application is approved for the drug for the indication for which it is being investigated; or, if no application is to be filed or if the application is not approved for such indication, until two years after the investigation is discontinued and FDA is notified.</w:t>
      </w:r>
    </w:p>
    <w:p w14:paraId="058FE53E" w14:textId="73E3A2F1"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For device studies conducted under an </w:t>
      </w:r>
      <w:r w:rsidR="00FA73B2">
        <w:rPr>
          <w:rFonts w:ascii="Times New Roman" w:hAnsi="Times New Roman" w:cs="Times New Roman"/>
          <w:sz w:val="24"/>
          <w:szCs w:val="24"/>
        </w:rPr>
        <w:t>integrated development environment (</w:t>
      </w:r>
      <w:r w:rsidRPr="006B15AB">
        <w:rPr>
          <w:rFonts w:ascii="Times New Roman" w:hAnsi="Times New Roman" w:cs="Times New Roman"/>
          <w:sz w:val="24"/>
          <w:szCs w:val="24"/>
        </w:rPr>
        <w:t>IDE</w:t>
      </w:r>
      <w:r w:rsidR="00FA73B2">
        <w:rPr>
          <w:rFonts w:ascii="Times New Roman" w:hAnsi="Times New Roman" w:cs="Times New Roman"/>
          <w:sz w:val="24"/>
          <w:szCs w:val="24"/>
        </w:rPr>
        <w:t>)</w:t>
      </w:r>
      <w:r w:rsidRPr="006B15AB">
        <w:rPr>
          <w:rFonts w:ascii="Times New Roman" w:hAnsi="Times New Roman" w:cs="Times New Roman"/>
          <w:sz w:val="24"/>
          <w:szCs w:val="24"/>
        </w:rPr>
        <w:t>, two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p w14:paraId="7C5A3D62"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The retention period requested by the sponsor.</w:t>
      </w:r>
    </w:p>
    <w:p w14:paraId="2CF1CBD8"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Furnish all reports to the sponsor of the drug who is responsible for collecting and evaluating the results obtained.</w:t>
      </w:r>
    </w:p>
    <w:p w14:paraId="5325DF08"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 xml:space="preserve">Immediately report to the sponsor any serious adverse event, </w:t>
      </w:r>
      <w:proofErr w:type="gramStart"/>
      <w:r w:rsidRPr="006B15AB">
        <w:rPr>
          <w:rFonts w:ascii="Times New Roman" w:hAnsi="Times New Roman" w:cs="Times New Roman"/>
          <w:sz w:val="24"/>
          <w:szCs w:val="24"/>
        </w:rPr>
        <w:t>whether or not</w:t>
      </w:r>
      <w:proofErr w:type="gramEnd"/>
      <w:r w:rsidRPr="006B15AB">
        <w:rPr>
          <w:rFonts w:ascii="Times New Roman" w:hAnsi="Times New Roman" w:cs="Times New Roman"/>
          <w:sz w:val="24"/>
          <w:szCs w:val="24"/>
        </w:rPr>
        <w:t xml:space="preserve"> considered drug related, including those listed in the protocol or investigator brochure. </w:t>
      </w:r>
    </w:p>
    <w:p w14:paraId="6EEA0D45"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The report must include an assessment of whether there is a reasonable possibility that the drug caused the event.</w:t>
      </w:r>
    </w:p>
    <w:p w14:paraId="240C0854"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Study endpoints that are serious adverse events (e.g., all-cause mortality) must be reported in accordance with the protocol unless there is evidence suggesting a causal relationship between the drug and the event (e.g., death from anaphylaxis). In that case, immediately report the event to the sponsor.</w:t>
      </w:r>
    </w:p>
    <w:p w14:paraId="7CA84685"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Record non-serious adverse events and report them to the sponsor according to the timetable for reporting specified in the protocol.</w:t>
      </w:r>
    </w:p>
    <w:p w14:paraId="5EA64B82"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lastRenderedPageBreak/>
        <w:t>Provide the sponsor with an adequate report shortly after completion of your participation in the investigation.</w:t>
      </w:r>
    </w:p>
    <w:p w14:paraId="2CABA959"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Provide the sponsor with sufficient accurate financial information to allow an applicant to submit complete and accurate certification or disclosure statements as required under part 54 of this chapter.</w:t>
      </w:r>
    </w:p>
    <w:p w14:paraId="508C7D1E"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Promptly update this information if any relevant changes occur </w:t>
      </w:r>
      <w:proofErr w:type="gramStart"/>
      <w:r w:rsidRPr="006B15AB">
        <w:rPr>
          <w:rFonts w:ascii="Times New Roman" w:hAnsi="Times New Roman" w:cs="Times New Roman"/>
          <w:sz w:val="24"/>
          <w:szCs w:val="24"/>
        </w:rPr>
        <w:t>during the course of</w:t>
      </w:r>
      <w:proofErr w:type="gramEnd"/>
      <w:r w:rsidRPr="006B15AB">
        <w:rPr>
          <w:rFonts w:ascii="Times New Roman" w:hAnsi="Times New Roman" w:cs="Times New Roman"/>
          <w:sz w:val="24"/>
          <w:szCs w:val="24"/>
        </w:rPr>
        <w:t xml:space="preserve"> the investigation and for one year following the completion of the study.</w:t>
      </w:r>
    </w:p>
    <w:p w14:paraId="38A8D42C"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Assure that an IRB that complies with the requirements set forth in FDA regulations will be responsible for the initial and continuing review and approval of the proposed clinical study.</w:t>
      </w:r>
    </w:p>
    <w:p w14:paraId="3FE06185" w14:textId="5FF78083"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Promptly report to the IRB all changes in the research activity and all </w:t>
      </w:r>
      <w:r w:rsidRPr="00EE4062">
        <w:rPr>
          <w:rFonts w:ascii="Times New Roman" w:hAnsi="Times New Roman" w:cs="Times New Roman"/>
          <w:b/>
          <w:bCs/>
          <w:sz w:val="24"/>
          <w:szCs w:val="24"/>
        </w:rPr>
        <w:t>Unanticipated Problems Involving Risk to Subjects or Others</w:t>
      </w:r>
      <w:r w:rsidRPr="006B15AB">
        <w:rPr>
          <w:rFonts w:ascii="Times New Roman" w:hAnsi="Times New Roman" w:cs="Times New Roman"/>
          <w:sz w:val="24"/>
          <w:szCs w:val="24"/>
        </w:rPr>
        <w:t>.</w:t>
      </w:r>
    </w:p>
    <w:p w14:paraId="1E09F460"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Make no changes in the research without IRB approval, except where necessary to eliminate apparent immediate hazards to human subjects.</w:t>
      </w:r>
    </w:p>
    <w:p w14:paraId="7EF0BE2B"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Upon request from any properly authorized officer or employee of FDA, at reasonable times, permit such officer or employee to have access to, and copy and verify any of your records or reports.</w:t>
      </w:r>
    </w:p>
    <w:p w14:paraId="74BC79C5"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You are not required to divulge subject names unless the records of particular individuals require a more detailed study of the cases, or unless there is reason to believe that the records do not represent actual case studies, or do not represent actual results obtained.</w:t>
      </w:r>
    </w:p>
    <w:p w14:paraId="7D986809"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If the investigational drug is subject to the Controlled Substances Act,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5ADC09A5" w14:textId="77777777" w:rsidR="006B15AB" w:rsidRPr="006B15AB" w:rsidRDefault="006B15AB" w:rsidP="006B15AB">
      <w:pPr>
        <w:pStyle w:val="SOPLevel2"/>
        <w:rPr>
          <w:rFonts w:ascii="Times New Roman" w:hAnsi="Times New Roman" w:cs="Times New Roman"/>
          <w:sz w:val="24"/>
          <w:szCs w:val="24"/>
        </w:rPr>
      </w:pPr>
      <w:r w:rsidRPr="006B15AB">
        <w:rPr>
          <w:rFonts w:ascii="Times New Roman" w:hAnsi="Times New Roman" w:cs="Times New Roman"/>
          <w:sz w:val="24"/>
          <w:szCs w:val="24"/>
        </w:rPr>
        <w:t>Requirements for studies conducted under an abbreviated IDE</w:t>
      </w:r>
    </w:p>
    <w:p w14:paraId="466AD9D4"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You, or any person acting for or on behalf of you may not:</w:t>
      </w:r>
    </w:p>
    <w:p w14:paraId="0C338085"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Promote or test market the investigational device, until after FDA has approved the device for commercial distribution.</w:t>
      </w:r>
    </w:p>
    <w:p w14:paraId="2ED63460"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Commercialize the investigational device by charging the subjects or investigators for a device a price larger than that necessary to recover costs of manufacture, research, development, and handling.</w:t>
      </w:r>
    </w:p>
    <w:p w14:paraId="6AA41A58"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Unduly prolong the investigation.</w:t>
      </w:r>
    </w:p>
    <w:p w14:paraId="34938925"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lastRenderedPageBreak/>
        <w:t>Represent that the investigational device is safe or effective for the purposes for which it is being investigated.</w:t>
      </w:r>
    </w:p>
    <w:p w14:paraId="1B012EDB"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If the study is investigator-initiated:</w:t>
      </w:r>
    </w:p>
    <w:p w14:paraId="176F35F1"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Label the device as follows:</w:t>
      </w:r>
    </w:p>
    <w:p w14:paraId="207522BD" w14:textId="3A6F8BD6"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 xml:space="preserve">The device or its immediate package must bear a label with the following information: the name and place of business of the manufacturer, packer, or distributor (in accordance with </w:t>
      </w:r>
      <w:hyperlink r:id="rId12" w:history="1">
        <w:r w:rsidRPr="0011231D">
          <w:rPr>
            <w:rStyle w:val="Hyperlink"/>
            <w:rFonts w:ascii="Times New Roman" w:hAnsi="Times New Roman" w:cs="Times New Roman"/>
            <w:sz w:val="24"/>
            <w:szCs w:val="24"/>
          </w:rPr>
          <w:t>§801.1</w:t>
        </w:r>
      </w:hyperlink>
      <w:r w:rsidRPr="006B15AB">
        <w:rPr>
          <w:rFonts w:ascii="Times New Roman" w:hAnsi="Times New Roman" w:cs="Times New Roman"/>
          <w:sz w:val="24"/>
          <w:szCs w:val="24"/>
        </w:rPr>
        <w:t>), the quantity of contents, if appropriate, and the following statement: “CAUTION-Investigational device. Limited by Federal (or United States) law to investigational use.” The label or other labeling shall describe all relevant contraindications, hazards, adverse effects, interfering substances or devices, warnings, and precautions.</w:t>
      </w:r>
    </w:p>
    <w:p w14:paraId="48C26B60"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The device must not bear any statement that is false or misleading in any particular and shall not represent that the device is safe or effective for the purposes for which it is being investigated.</w:t>
      </w:r>
    </w:p>
    <w:p w14:paraId="659E1CFC" w14:textId="481E8A60"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Comply with the requirements of </w:t>
      </w:r>
      <w:hyperlink r:id="rId13" w:anchor="se21.8.812_146" w:history="1">
        <w:r w:rsidR="008C1ACF" w:rsidRPr="008C1ACF">
          <w:rPr>
            <w:rStyle w:val="Hyperlink"/>
            <w:rFonts w:ascii="Times New Roman" w:hAnsi="Times New Roman" w:cs="Times New Roman"/>
            <w:sz w:val="24"/>
            <w:szCs w:val="24"/>
          </w:rPr>
          <w:t>21 CFR</w:t>
        </w:r>
        <w:r w:rsidRPr="008C1ACF">
          <w:rPr>
            <w:rStyle w:val="Hyperlink"/>
            <w:rFonts w:ascii="Times New Roman" w:hAnsi="Times New Roman" w:cs="Times New Roman"/>
            <w:sz w:val="24"/>
            <w:szCs w:val="24"/>
          </w:rPr>
          <w:t xml:space="preserve"> </w:t>
        </w:r>
        <w:r w:rsidR="008C1ACF" w:rsidRPr="008C1ACF">
          <w:rPr>
            <w:rStyle w:val="Hyperlink"/>
            <w:rFonts w:ascii="Times New Roman" w:hAnsi="Times New Roman" w:cs="Times New Roman"/>
            <w:sz w:val="24"/>
            <w:szCs w:val="24"/>
          </w:rPr>
          <w:t>§812.46</w:t>
        </w:r>
      </w:hyperlink>
      <w:r w:rsidRPr="006B15AB">
        <w:rPr>
          <w:rFonts w:ascii="Times New Roman" w:hAnsi="Times New Roman" w:cs="Times New Roman"/>
          <w:sz w:val="24"/>
          <w:szCs w:val="24"/>
        </w:rPr>
        <w:t xml:space="preserve"> with respect to monitoring investigations.</w:t>
      </w:r>
    </w:p>
    <w:p w14:paraId="7DCAEAF3" w14:textId="21B4972C"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Maintain the records required under </w:t>
      </w:r>
      <w:hyperlink r:id="rId14" w:history="1">
        <w:r w:rsidR="00ED6AC2" w:rsidRPr="00ED6AC2">
          <w:rPr>
            <w:rStyle w:val="Hyperlink"/>
            <w:rFonts w:ascii="Times New Roman" w:hAnsi="Times New Roman" w:cs="Times New Roman"/>
            <w:sz w:val="24"/>
            <w:szCs w:val="24"/>
          </w:rPr>
          <w:t>21 CFR</w:t>
        </w:r>
        <w:r w:rsidRPr="00ED6AC2">
          <w:rPr>
            <w:rStyle w:val="Hyperlink"/>
            <w:rFonts w:ascii="Times New Roman" w:hAnsi="Times New Roman" w:cs="Times New Roman"/>
            <w:sz w:val="24"/>
            <w:szCs w:val="24"/>
          </w:rPr>
          <w:t xml:space="preserve"> </w:t>
        </w:r>
        <w:r w:rsidR="00ED6AC2" w:rsidRPr="00ED6AC2">
          <w:rPr>
            <w:rStyle w:val="Hyperlink"/>
            <w:rFonts w:ascii="Times New Roman" w:hAnsi="Times New Roman" w:cs="Times New Roman"/>
            <w:sz w:val="24"/>
            <w:szCs w:val="24"/>
          </w:rPr>
          <w:t>§812.140</w:t>
        </w:r>
      </w:hyperlink>
      <w:r w:rsidRPr="006B15AB">
        <w:rPr>
          <w:rFonts w:ascii="Times New Roman" w:hAnsi="Times New Roman" w:cs="Times New Roman"/>
          <w:sz w:val="24"/>
          <w:szCs w:val="24"/>
        </w:rPr>
        <w:t xml:space="preserve">(b) (4) and (5) and makes the reports required under </w:t>
      </w:r>
      <w:hyperlink r:id="rId15" w:history="1">
        <w:r w:rsidR="00ED6AC2" w:rsidRPr="00ED6AC2">
          <w:rPr>
            <w:rStyle w:val="Hyperlink"/>
            <w:rFonts w:ascii="Times New Roman" w:hAnsi="Times New Roman" w:cs="Times New Roman"/>
            <w:sz w:val="24"/>
            <w:szCs w:val="24"/>
          </w:rPr>
          <w:t>21 CFR</w:t>
        </w:r>
        <w:r w:rsidRPr="00ED6AC2">
          <w:rPr>
            <w:rStyle w:val="Hyperlink"/>
            <w:rFonts w:ascii="Times New Roman" w:hAnsi="Times New Roman" w:cs="Times New Roman"/>
            <w:sz w:val="24"/>
            <w:szCs w:val="24"/>
          </w:rPr>
          <w:t xml:space="preserve"> </w:t>
        </w:r>
        <w:r w:rsidR="00ED6AC2" w:rsidRPr="00ED6AC2">
          <w:rPr>
            <w:rStyle w:val="Hyperlink"/>
            <w:rFonts w:ascii="Times New Roman" w:hAnsi="Times New Roman" w:cs="Times New Roman"/>
            <w:sz w:val="24"/>
            <w:szCs w:val="24"/>
          </w:rPr>
          <w:t>§812.150</w:t>
        </w:r>
      </w:hyperlink>
      <w:r w:rsidRPr="006B15AB">
        <w:rPr>
          <w:rFonts w:ascii="Times New Roman" w:hAnsi="Times New Roman" w:cs="Times New Roman"/>
          <w:sz w:val="24"/>
          <w:szCs w:val="24"/>
        </w:rPr>
        <w:t>(b) (1) through (3) and (5) through (10).</w:t>
      </w:r>
    </w:p>
    <w:p w14:paraId="6CA472B2" w14:textId="301C6463"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Ensure that participating investigators maintain the records required by </w:t>
      </w:r>
      <w:hyperlink r:id="rId16" w:history="1">
        <w:r w:rsidRPr="005A25D2">
          <w:rPr>
            <w:rStyle w:val="Hyperlink"/>
            <w:rFonts w:ascii="Times New Roman" w:hAnsi="Times New Roman" w:cs="Times New Roman"/>
            <w:sz w:val="24"/>
            <w:szCs w:val="24"/>
          </w:rPr>
          <w:t>21 CFR §812.140</w:t>
        </w:r>
      </w:hyperlink>
      <w:r w:rsidRPr="006B15AB">
        <w:rPr>
          <w:rFonts w:ascii="Times New Roman" w:hAnsi="Times New Roman" w:cs="Times New Roman"/>
          <w:sz w:val="24"/>
          <w:szCs w:val="24"/>
        </w:rPr>
        <w:t xml:space="preserve">(a)(3)(i) and make the reports required under </w:t>
      </w:r>
      <w:hyperlink r:id="rId17" w:history="1">
        <w:r w:rsidRPr="00944B6C">
          <w:rPr>
            <w:rStyle w:val="Hyperlink"/>
            <w:rFonts w:ascii="Times New Roman" w:hAnsi="Times New Roman" w:cs="Times New Roman"/>
            <w:sz w:val="24"/>
            <w:szCs w:val="24"/>
          </w:rPr>
          <w:t>21 CFR §812.150</w:t>
        </w:r>
      </w:hyperlink>
      <w:r w:rsidRPr="006B15AB">
        <w:rPr>
          <w:rFonts w:ascii="Times New Roman" w:hAnsi="Times New Roman" w:cs="Times New Roman"/>
          <w:sz w:val="24"/>
          <w:szCs w:val="24"/>
        </w:rPr>
        <w:t>(a) (1), (2), (5), and (7).</w:t>
      </w:r>
    </w:p>
    <w:p w14:paraId="7BD111C5"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Ensure that the investigation is conducted according to the signed agreement, the investigational plan and applicable FDA regulations, for protecting the rights, safety, and welfare of subjects under your care, and for the control of devices under investigation.</w:t>
      </w:r>
    </w:p>
    <w:p w14:paraId="1EA39D31"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Ensure that informed consent is obtained in accordance with FDA regulations.</w:t>
      </w:r>
    </w:p>
    <w:p w14:paraId="05D22690"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You may determine whether potential subjects would be interested in participating in an investigation, but do not request the written informed consent of any subject to participate, and do not allow any subject to participate before obtaining IRB and FDA approval.</w:t>
      </w:r>
    </w:p>
    <w:p w14:paraId="6A1E19E8"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Conduct the investigation in accordance with the signed agreement with the sponsor, the investigational plan, this part and other applicable FDA regulations, and any conditions of approval imposed by an IRB or FDA.</w:t>
      </w:r>
    </w:p>
    <w:p w14:paraId="1FD4D0F2"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lastRenderedPageBreak/>
        <w:t>Permit the investigational device to be used only with subjects under your supervision.</w:t>
      </w:r>
    </w:p>
    <w:p w14:paraId="42608A76"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Do not supply an investigational device to any person not authorized under this part to receive it.</w:t>
      </w:r>
    </w:p>
    <w:p w14:paraId="0CACB3B3"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Disclose to the sponsor sufficient accurate financial information to allow the applicant to submit complete and accurate certification or disclosure statements required by FDA regulations.</w:t>
      </w:r>
    </w:p>
    <w:p w14:paraId="5876A3E8"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Promptly update this information if any relevant changes occur </w:t>
      </w:r>
      <w:proofErr w:type="gramStart"/>
      <w:r w:rsidRPr="006B15AB">
        <w:rPr>
          <w:rFonts w:ascii="Times New Roman" w:hAnsi="Times New Roman" w:cs="Times New Roman"/>
          <w:sz w:val="24"/>
          <w:szCs w:val="24"/>
        </w:rPr>
        <w:t>during the course of</w:t>
      </w:r>
      <w:proofErr w:type="gramEnd"/>
      <w:r w:rsidRPr="006B15AB">
        <w:rPr>
          <w:rFonts w:ascii="Times New Roman" w:hAnsi="Times New Roman" w:cs="Times New Roman"/>
          <w:sz w:val="24"/>
          <w:szCs w:val="24"/>
        </w:rPr>
        <w:t xml:space="preserve"> the investigation and for one year following completion of the study.</w:t>
      </w:r>
    </w:p>
    <w:p w14:paraId="5A7AD8DE"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Upon completion or termination of a clinical investigation or your part of an investigation, or at the sponsor’s request, return to the sponsor any remaining supply of the device or otherwise dispose of the device as the sponsor directs.</w:t>
      </w:r>
    </w:p>
    <w:p w14:paraId="35DE9178" w14:textId="073B104B"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 xml:space="preserve">Maintain the following accurate, complete, and current records relating to </w:t>
      </w:r>
      <w:r w:rsidR="00F2134F" w:rsidRPr="006B15AB">
        <w:rPr>
          <w:rFonts w:ascii="Times New Roman" w:hAnsi="Times New Roman" w:cs="Times New Roman"/>
          <w:sz w:val="24"/>
          <w:szCs w:val="24"/>
        </w:rPr>
        <w:t>your</w:t>
      </w:r>
      <w:r w:rsidRPr="006B15AB">
        <w:rPr>
          <w:rFonts w:ascii="Times New Roman" w:hAnsi="Times New Roman" w:cs="Times New Roman"/>
          <w:sz w:val="24"/>
          <w:szCs w:val="24"/>
        </w:rPr>
        <w:t xml:space="preserve"> participation in an investigation:</w:t>
      </w:r>
    </w:p>
    <w:p w14:paraId="367F73BF"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Records of each subject’s case history and exposure to the device. Case histories include:</w:t>
      </w:r>
    </w:p>
    <w:p w14:paraId="52884758"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The case report forms and supporting data including, for example, signed and dated consent forms and medical records including, for example, progress notes of the physician, the individual’s hospital chart(s), and the nurses’ notes</w:t>
      </w:r>
    </w:p>
    <w:p w14:paraId="5125D675"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 xml:space="preserve">Documents evidencing informed consent and, for any use of a device without informed consent, any written concurrence of a licensed physician and a brief description of the circumstances justifying the failure to obtain informed consent. The case history for </w:t>
      </w:r>
      <w:proofErr w:type="gramStart"/>
      <w:r w:rsidRPr="006B15AB">
        <w:rPr>
          <w:rFonts w:ascii="Times New Roman" w:hAnsi="Times New Roman" w:cs="Times New Roman"/>
          <w:sz w:val="24"/>
          <w:szCs w:val="24"/>
        </w:rPr>
        <w:t>each individual</w:t>
      </w:r>
      <w:proofErr w:type="gramEnd"/>
      <w:r w:rsidRPr="006B15AB">
        <w:rPr>
          <w:rFonts w:ascii="Times New Roman" w:hAnsi="Times New Roman" w:cs="Times New Roman"/>
          <w:sz w:val="24"/>
          <w:szCs w:val="24"/>
        </w:rPr>
        <w:t xml:space="preserve"> must document that informed consent was obtained prior to participation in the study</w:t>
      </w:r>
    </w:p>
    <w:p w14:paraId="33A11807"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The protocol, with documents showing the dates of and reasons for each deviation from the protocol.</w:t>
      </w:r>
    </w:p>
    <w:p w14:paraId="46238FFF"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Any other records that FDA requires to be maintained by regulation or by specific requirement for a category of investigations or a particular investigation.</w:t>
      </w:r>
    </w:p>
    <w:p w14:paraId="5D58001A"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Permit authorized FDA employees, at reasonable times and in a reasonable manner:</w:t>
      </w:r>
    </w:p>
    <w:p w14:paraId="1408D6D1"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lastRenderedPageBreak/>
        <w:t>To enter and inspect any establishment where devices are held (including any establishment where devices are manufactured, processed, packed, installed, used, or implanted or where records of results from use of devices are kept).</w:t>
      </w:r>
    </w:p>
    <w:p w14:paraId="3225BC96"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To inspect and copy all records relating to an investigation.</w:t>
      </w:r>
    </w:p>
    <w:p w14:paraId="6CC083DB"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To inspect and copy records that identify subjects, upon notice that FDA has reason to suspect that adequate informed consent was not obtained, or that reports required to be submitted by you to the sponsor or IRB have not been submitted or are incomplete, inaccurate, false, or misleading.</w:t>
      </w:r>
    </w:p>
    <w:p w14:paraId="308F5FB2"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Prepare and submit the following complete, accurate, and timely reports:</w:t>
      </w:r>
    </w:p>
    <w:p w14:paraId="07570250"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Submit to the sponsor and to the reviewing IRB a report of any unanticipated adverse device effect occurring during an investigation as soon as possible, but in no event later than 10 working days after you first learn of the effect.</w:t>
      </w:r>
    </w:p>
    <w:p w14:paraId="300077F4"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Report to the sponsor, within 5 working days, a withdrawal of approval by the reviewing IRB of your part of an investigation.</w:t>
      </w:r>
    </w:p>
    <w:p w14:paraId="1D068AA8"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If you use a device without obtaining informed consent, report such use to the sponsor and the reviewing IRB within 5 working days after the use occurs.</w:t>
      </w:r>
    </w:p>
    <w:p w14:paraId="1F021FA8"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Upon request by a reviewing IRB or FDA, provide accurate, complete, and current information about any aspect of the investigation.</w:t>
      </w:r>
    </w:p>
    <w:p w14:paraId="2F853498" w14:textId="77777777" w:rsidR="006B15AB" w:rsidRPr="006B15AB" w:rsidRDefault="006B15AB" w:rsidP="006B15AB">
      <w:pPr>
        <w:pStyle w:val="SOPLevel2"/>
        <w:rPr>
          <w:rFonts w:ascii="Times New Roman" w:hAnsi="Times New Roman" w:cs="Times New Roman"/>
          <w:sz w:val="24"/>
          <w:szCs w:val="24"/>
        </w:rPr>
      </w:pPr>
      <w:r w:rsidRPr="006B15AB">
        <w:rPr>
          <w:rFonts w:ascii="Times New Roman" w:hAnsi="Times New Roman" w:cs="Times New Roman"/>
          <w:sz w:val="24"/>
          <w:szCs w:val="24"/>
        </w:rPr>
        <w:t>Expanded Access</w:t>
      </w:r>
    </w:p>
    <w:p w14:paraId="243F666A"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FDA has an expanded access program, which allows the use of investigational new drugs and approved drugs where availability is limited by a risk evaluation and mitigation strategy (REMS) when the primary purpose is to diagnose, monitor, or treat a patient's disease or condition. The aim of expanded access is to facilitate the availability of such drugs to patients with serious diseases or conditions when there is no comparable or satisfactory alternative therapy to diagnose, monitor, or treat the patient's disease or condition.</w:t>
      </w:r>
    </w:p>
    <w:p w14:paraId="2F48B704" w14:textId="182D1C08"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 xml:space="preserve">In all cases of expanded access, investigators are responsible for reporting adverse drug events to the sponsor, ensuring that the informed consent requirements of part 50 of this chapter are met, ensuring that IRB review of the expanded access use is obtained in a manner consistent with the requirements of part 56 of this chapter, and maintaining accurate case histories and drug disposition records and retaining records in a manner consistent with the requirements of </w:t>
      </w:r>
      <w:hyperlink r:id="rId18" w:history="1">
        <w:r w:rsidRPr="00683A31">
          <w:rPr>
            <w:rStyle w:val="Hyperlink"/>
            <w:rFonts w:ascii="Times New Roman" w:hAnsi="Times New Roman" w:cs="Times New Roman"/>
            <w:sz w:val="24"/>
            <w:szCs w:val="24"/>
          </w:rPr>
          <w:t>§312.62</w:t>
        </w:r>
      </w:hyperlink>
      <w:r w:rsidRPr="006B15AB">
        <w:rPr>
          <w:rFonts w:ascii="Times New Roman" w:hAnsi="Times New Roman" w:cs="Times New Roman"/>
          <w:sz w:val="24"/>
          <w:szCs w:val="24"/>
        </w:rPr>
        <w:t>. Depending on the type of expanded access, other investigator responsibilities under subpart D may also apply.</w:t>
      </w:r>
    </w:p>
    <w:p w14:paraId="13A1EB5F" w14:textId="77777777" w:rsidR="006B15AB" w:rsidRPr="006B15AB" w:rsidRDefault="006B15AB" w:rsidP="006B15AB">
      <w:pPr>
        <w:pStyle w:val="SOPLevel2"/>
        <w:rPr>
          <w:rFonts w:ascii="Times New Roman" w:hAnsi="Times New Roman" w:cs="Times New Roman"/>
          <w:sz w:val="24"/>
          <w:szCs w:val="24"/>
        </w:rPr>
      </w:pPr>
      <w:r w:rsidRPr="006B15AB">
        <w:rPr>
          <w:rFonts w:ascii="Times New Roman" w:hAnsi="Times New Roman" w:cs="Times New Roman"/>
          <w:sz w:val="24"/>
          <w:szCs w:val="24"/>
        </w:rPr>
        <w:t>Requirements for studies conducted under an IDE</w:t>
      </w:r>
    </w:p>
    <w:p w14:paraId="45CF69F6"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lastRenderedPageBreak/>
        <w:t>You, or any person acting for or on behalf of you may not:</w:t>
      </w:r>
    </w:p>
    <w:p w14:paraId="4120E306"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Promote or test market the investigational device, until after FDA has approved the device for commercial distribution.</w:t>
      </w:r>
    </w:p>
    <w:p w14:paraId="25B24329"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Commercialize the investigational device by charging the subjects or investigators for a device a price larger than that necessary to recover costs of manufacture, research, development, and handling.</w:t>
      </w:r>
    </w:p>
    <w:p w14:paraId="42C7378A"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Unduly prolong the investigation.</w:t>
      </w:r>
    </w:p>
    <w:p w14:paraId="6FAA7316"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Represent that the investigational device is safe or effective for the purposes for which it is being investigated.</w:t>
      </w:r>
    </w:p>
    <w:p w14:paraId="790DF78B"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Ensure that the investigation is conducted according to the signed agreement, the investigational plan and applicable FDA regulations, for protecting the rights, safety, and welfare of subjects under your care, and for the control of devices under investigation.</w:t>
      </w:r>
    </w:p>
    <w:p w14:paraId="27DE86B5"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Ensure that informed consent is obtained in accordance with FDA regulations.</w:t>
      </w:r>
    </w:p>
    <w:p w14:paraId="1EE2A74C"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You may determine whether potential subjects would be interested in participating in an investigation, but do not request the written informed consent of any subject to participate, and do not allow any subject to participate before obtaining IRB and FDA approval.</w:t>
      </w:r>
    </w:p>
    <w:p w14:paraId="7838C468"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Conduct the investigation in accordance with the signed agreement with the sponsor, the investigational plan, this part and other applicable FDA regulations, and any conditions of approval imposed by an IRB or FDA.</w:t>
      </w:r>
    </w:p>
    <w:p w14:paraId="34D3B3A8"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Permit the investigational device to be used only with subjects under your supervision.</w:t>
      </w:r>
    </w:p>
    <w:p w14:paraId="38A000D5"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Do not supply an investigational device to any person not authorized under this part to receive it.</w:t>
      </w:r>
    </w:p>
    <w:p w14:paraId="6D4CCC2F"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Disclose to the sponsor sufficient accurate financial information to allow the applicant to submit complete and accurate certification or disclosure statements required by FDA regulations.</w:t>
      </w:r>
    </w:p>
    <w:p w14:paraId="36421AFD"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 xml:space="preserve">Promptly update this information if any relevant changes occur </w:t>
      </w:r>
      <w:proofErr w:type="gramStart"/>
      <w:r w:rsidRPr="006B15AB">
        <w:rPr>
          <w:rFonts w:ascii="Times New Roman" w:hAnsi="Times New Roman" w:cs="Times New Roman"/>
          <w:sz w:val="24"/>
          <w:szCs w:val="24"/>
        </w:rPr>
        <w:t>during the course of</w:t>
      </w:r>
      <w:proofErr w:type="gramEnd"/>
      <w:r w:rsidRPr="006B15AB">
        <w:rPr>
          <w:rFonts w:ascii="Times New Roman" w:hAnsi="Times New Roman" w:cs="Times New Roman"/>
          <w:sz w:val="24"/>
          <w:szCs w:val="24"/>
        </w:rPr>
        <w:t xml:space="preserve"> the investigation and for one year following completion of the study.</w:t>
      </w:r>
    </w:p>
    <w:p w14:paraId="211235C0"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Upon completion or termination of a clinical investigation or your part of an investigation, or at the sponsor’s request, return to the sponsor any remaining supply of the device or otherwise dispose of the device as the sponsor directs.</w:t>
      </w:r>
    </w:p>
    <w:p w14:paraId="52A4D86C" w14:textId="68BFE8F1"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Maintain the following accurate, complete, and current records relating to your participation in an investigation:</w:t>
      </w:r>
    </w:p>
    <w:p w14:paraId="190F80A0"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lastRenderedPageBreak/>
        <w:t>All correspondence with another investigator, an IRB, the sponsor, a monitor, or FDA, including required reports.</w:t>
      </w:r>
    </w:p>
    <w:p w14:paraId="02C6485B"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Records of receipt, use or disposition of a device that relate to:</w:t>
      </w:r>
    </w:p>
    <w:p w14:paraId="0BD27074"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The type and quantity of the device, the dates of its receipt, and the batch number or code mark</w:t>
      </w:r>
    </w:p>
    <w:p w14:paraId="2330B7C2"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The names of all persons who received, used, or disposed of each device</w:t>
      </w:r>
    </w:p>
    <w:p w14:paraId="1F065EFE"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Why and how many units of the device have been returned to the sponsor, repaired, or otherwise disposed of</w:t>
      </w:r>
    </w:p>
    <w:p w14:paraId="5276F27A"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Records of each subject’s case history and exposure to the device. Case histories include:</w:t>
      </w:r>
    </w:p>
    <w:p w14:paraId="38411D5B"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The case report forms and supporting data including, for example, signed and dated consent forms and medical records including, for example, progress notes of the physician, the individual’s hospital chart(s), and the nurses’ notes.</w:t>
      </w:r>
    </w:p>
    <w:p w14:paraId="351004ED"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 xml:space="preserve">Documents evidencing informed consent and, for any use of a device without informed consent, any written concurrence of a licensed physician and a brief description of the circumstances justifying the failure to obtain informed consent. The case history for </w:t>
      </w:r>
      <w:proofErr w:type="gramStart"/>
      <w:r w:rsidRPr="006B15AB">
        <w:rPr>
          <w:rFonts w:ascii="Times New Roman" w:hAnsi="Times New Roman" w:cs="Times New Roman"/>
          <w:sz w:val="24"/>
          <w:szCs w:val="24"/>
        </w:rPr>
        <w:t>each individual</w:t>
      </w:r>
      <w:proofErr w:type="gramEnd"/>
      <w:r w:rsidRPr="006B15AB">
        <w:rPr>
          <w:rFonts w:ascii="Times New Roman" w:hAnsi="Times New Roman" w:cs="Times New Roman"/>
          <w:sz w:val="24"/>
          <w:szCs w:val="24"/>
        </w:rPr>
        <w:t xml:space="preserve"> must document that informed consent was obtained prior to participation in the study.</w:t>
      </w:r>
    </w:p>
    <w:p w14:paraId="4299BBE8"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All relevant observations, including records concerning adverse device effects (whether anticipated or unanticipated), information and data on the condition of each subject upon entering, and during the course of, the investigation, including information about relevant previous medical history and the results of all diagnostic tests.</w:t>
      </w:r>
    </w:p>
    <w:p w14:paraId="1ECA9BE2"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A record of the exposure of each subject to the investigational device, including the date and time of each use, and any other therapy.</w:t>
      </w:r>
    </w:p>
    <w:p w14:paraId="5DCAF674"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The protocol, with documents showing the dates of and reasons for each deviation from the protocol.</w:t>
      </w:r>
    </w:p>
    <w:p w14:paraId="4E5DB9AC"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Any other records that FDA requires to be maintained by regulation or by specific requirement for a category of investigations or a particular investigation.</w:t>
      </w:r>
    </w:p>
    <w:p w14:paraId="7CA8ED26"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lastRenderedPageBreak/>
        <w:t>Permit authorized FDA employees, at reasonable times and in a reasonable manner:</w:t>
      </w:r>
    </w:p>
    <w:p w14:paraId="779EB9B2"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To enter and inspect any establishment where devices are held (including any establishment where devices are manufactured, processed, packed, installed, used, or implanted or where records of results from use of devices are kept).</w:t>
      </w:r>
    </w:p>
    <w:p w14:paraId="1F46DB46"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To inspect and copy all records relating to an investigation.</w:t>
      </w:r>
    </w:p>
    <w:p w14:paraId="7C56DEC6"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To inspect and copy records that identify subjects, upon notice that FDA has reason to suspect that adequate informed consent was not obtained, or that reports required to be submitted by you to the sponsor or IRB have not been submitted or are incomplete, inaccurate, false, or misleading.</w:t>
      </w:r>
    </w:p>
    <w:p w14:paraId="2BAD43AC" w14:textId="77777777" w:rsidR="006B15AB" w:rsidRPr="006B15AB" w:rsidRDefault="006B15AB" w:rsidP="006B15AB">
      <w:pPr>
        <w:pStyle w:val="SOPLevel3"/>
        <w:rPr>
          <w:rFonts w:ascii="Times New Roman" w:hAnsi="Times New Roman" w:cs="Times New Roman"/>
          <w:sz w:val="24"/>
          <w:szCs w:val="24"/>
        </w:rPr>
      </w:pPr>
      <w:r w:rsidRPr="006B15AB">
        <w:rPr>
          <w:rFonts w:ascii="Times New Roman" w:hAnsi="Times New Roman" w:cs="Times New Roman"/>
          <w:sz w:val="24"/>
          <w:szCs w:val="24"/>
        </w:rPr>
        <w:t>Prepare and submit the following complete, accurate, and timely reports:</w:t>
      </w:r>
    </w:p>
    <w:p w14:paraId="3109ED22"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Submit to the sponsor and to the reviewing IRB a report of any unanticipated adverse device effect occurring during an investigation as soon as possible, but in no event later than 10 working days after you first learn of the effect.</w:t>
      </w:r>
    </w:p>
    <w:p w14:paraId="64DB0E69"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Report to the sponsor, within 5 working days, a withdrawal of approval by the reviewing IRB of your part of an investigation.</w:t>
      </w:r>
    </w:p>
    <w:p w14:paraId="42C4C2E9"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Submit progress reports on the investigation to the sponsor, the monitor, and the reviewing IRB at regular intervals, but in no event less often than yearly.</w:t>
      </w:r>
    </w:p>
    <w:p w14:paraId="11764CA6"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Notify the sponsor and the reviewing IRB of any deviation from the investigational plan to protect the life or physical well-being of a subject in an emergency.</w:t>
      </w:r>
    </w:p>
    <w:p w14:paraId="02673448"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Give such notice as soon as possible, but in no event later than 5 working days after the emergency occurred.</w:t>
      </w:r>
    </w:p>
    <w:p w14:paraId="4C4D5591"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Except in such an emergency, prior approval by the sponsor is required for changes in or deviations from a plan.</w:t>
      </w:r>
    </w:p>
    <w:p w14:paraId="4DD88A59" w14:textId="77777777" w:rsidR="006B15AB" w:rsidRPr="006B15AB" w:rsidRDefault="006B15AB" w:rsidP="006B15AB">
      <w:pPr>
        <w:pStyle w:val="SOPLevel5"/>
        <w:tabs>
          <w:tab w:val="num" w:pos="3168"/>
        </w:tabs>
        <w:ind w:left="4608" w:hanging="1440"/>
        <w:rPr>
          <w:rFonts w:ascii="Times New Roman" w:hAnsi="Times New Roman" w:cs="Times New Roman"/>
          <w:sz w:val="24"/>
          <w:szCs w:val="24"/>
        </w:rPr>
      </w:pPr>
      <w:r w:rsidRPr="006B15AB">
        <w:rPr>
          <w:rFonts w:ascii="Times New Roman" w:hAnsi="Times New Roman" w:cs="Times New Roman"/>
          <w:sz w:val="24"/>
          <w:szCs w:val="24"/>
        </w:rPr>
        <w:t>If these changes or deviations may affect the scientific soundness of the plan or the rights, safety, or welfare of human subjects, prior approval of FDA and the IRB are required.</w:t>
      </w:r>
    </w:p>
    <w:p w14:paraId="07404DAE"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If you use a device without obtaining informed consent, report such use to the sponsor and the reviewing IRB within 5 working days after the use occurs.</w:t>
      </w:r>
    </w:p>
    <w:p w14:paraId="48F0BB6A" w14:textId="77777777" w:rsidR="006B15AB" w:rsidRPr="006B15AB" w:rsidRDefault="006B15AB" w:rsidP="006B15AB">
      <w:pPr>
        <w:pStyle w:val="SOPLevel4"/>
        <w:tabs>
          <w:tab w:val="num" w:pos="2016"/>
        </w:tabs>
        <w:rPr>
          <w:rFonts w:ascii="Times New Roman" w:hAnsi="Times New Roman" w:cs="Times New Roman"/>
          <w:sz w:val="24"/>
          <w:szCs w:val="24"/>
        </w:rPr>
      </w:pPr>
      <w:r w:rsidRPr="006B15AB">
        <w:rPr>
          <w:rFonts w:ascii="Times New Roman" w:hAnsi="Times New Roman" w:cs="Times New Roman"/>
          <w:sz w:val="24"/>
          <w:szCs w:val="24"/>
        </w:rPr>
        <w:t>Within 3 months after termination or completion of the investigation or your part of the investigation, submit a final report to the sponsor and the reviewing IRB.</w:t>
      </w:r>
    </w:p>
    <w:p w14:paraId="5652BBFB" w14:textId="65888282" w:rsidR="006B15AB" w:rsidRPr="001C3C05" w:rsidRDefault="006B15AB" w:rsidP="006B15AB">
      <w:pPr>
        <w:pStyle w:val="SOPLevel4"/>
        <w:tabs>
          <w:tab w:val="num" w:pos="2016"/>
        </w:tabs>
        <w:rPr>
          <w:rFonts w:ascii="Times New Roman" w:hAnsi="Times New Roman" w:cs="Times New Roman"/>
          <w:sz w:val="24"/>
          <w:szCs w:val="24"/>
        </w:rPr>
      </w:pPr>
      <w:r w:rsidRPr="001C3C05">
        <w:rPr>
          <w:rFonts w:ascii="Times New Roman" w:hAnsi="Times New Roman" w:cs="Times New Roman"/>
          <w:sz w:val="24"/>
          <w:szCs w:val="24"/>
        </w:rPr>
        <w:lastRenderedPageBreak/>
        <w:t>Upon request by a reviewing IRB or FDA, provide accurate, complete, and current information about any aspect of the investigation.</w:t>
      </w:r>
    </w:p>
    <w:p w14:paraId="39A471F6" w14:textId="3C2993B6" w:rsidR="000D6F33" w:rsidRPr="001C3C05" w:rsidRDefault="000D6F33" w:rsidP="000D6F33">
      <w:pPr>
        <w:pStyle w:val="SOPLevel2"/>
        <w:numPr>
          <w:ilvl w:val="0"/>
          <w:numId w:val="0"/>
        </w:numPr>
        <w:ind w:left="1152"/>
        <w:rPr>
          <w:rFonts w:ascii="Times New Roman" w:hAnsi="Times New Roman" w:cs="Times New Roman"/>
          <w:sz w:val="24"/>
          <w:szCs w:val="24"/>
        </w:rPr>
      </w:pPr>
      <w:r w:rsidRPr="001C3C05">
        <w:rPr>
          <w:rFonts w:ascii="Times New Roman" w:hAnsi="Times New Roman" w:cs="Times New Roman"/>
          <w:sz w:val="24"/>
          <w:szCs w:val="24"/>
        </w:rPr>
        <w:t>2.6</w:t>
      </w:r>
      <w:r w:rsidR="004735AA" w:rsidRPr="001C3C05">
        <w:rPr>
          <w:rFonts w:ascii="Times New Roman" w:hAnsi="Times New Roman" w:cs="Times New Roman"/>
          <w:sz w:val="24"/>
          <w:szCs w:val="24"/>
        </w:rPr>
        <w:t>.</w:t>
      </w:r>
      <w:r w:rsidRPr="001C3C05">
        <w:rPr>
          <w:rFonts w:ascii="Times New Roman" w:hAnsi="Times New Roman" w:cs="Times New Roman"/>
          <w:sz w:val="24"/>
          <w:szCs w:val="24"/>
        </w:rPr>
        <w:t xml:space="preserve">  Requirements for obtaining necessary approval</w:t>
      </w:r>
      <w:r w:rsidR="00533CB3" w:rsidRPr="001C3C05">
        <w:rPr>
          <w:rFonts w:ascii="Times New Roman" w:hAnsi="Times New Roman" w:cs="Times New Roman"/>
          <w:sz w:val="24"/>
          <w:szCs w:val="24"/>
        </w:rPr>
        <w:t>s</w:t>
      </w:r>
      <w:r w:rsidRPr="001C3C05">
        <w:rPr>
          <w:rFonts w:ascii="Times New Roman" w:hAnsi="Times New Roman" w:cs="Times New Roman"/>
          <w:sz w:val="24"/>
          <w:szCs w:val="24"/>
        </w:rPr>
        <w:t>.</w:t>
      </w:r>
    </w:p>
    <w:p w14:paraId="4103A53F" w14:textId="59869A5E" w:rsidR="0042257F" w:rsidRPr="001C3C05" w:rsidRDefault="00533CB3" w:rsidP="00233E08">
      <w:pPr>
        <w:pStyle w:val="SOPLevel2"/>
        <w:numPr>
          <w:ilvl w:val="0"/>
          <w:numId w:val="0"/>
        </w:numPr>
        <w:ind w:left="2070"/>
      </w:pPr>
      <w:r w:rsidRPr="001C3C05">
        <w:rPr>
          <w:rFonts w:ascii="Times New Roman" w:hAnsi="Times New Roman" w:cs="Times New Roman"/>
          <w:sz w:val="24"/>
          <w:szCs w:val="24"/>
        </w:rPr>
        <w:t>2.6.</w:t>
      </w:r>
      <w:r w:rsidR="00C44053" w:rsidRPr="001C3C05">
        <w:rPr>
          <w:rFonts w:ascii="Times New Roman" w:hAnsi="Times New Roman" w:cs="Times New Roman"/>
          <w:sz w:val="24"/>
          <w:szCs w:val="24"/>
        </w:rPr>
        <w:t xml:space="preserve">1. </w:t>
      </w:r>
      <w:r w:rsidR="00937018" w:rsidRPr="001C3C05">
        <w:rPr>
          <w:rFonts w:ascii="Times New Roman" w:hAnsi="Times New Roman" w:cs="Times New Roman"/>
          <w:sz w:val="24"/>
          <w:szCs w:val="24"/>
        </w:rPr>
        <w:t>It is the responsibility of the investigator to seek out and obtain any necessary approval</w:t>
      </w:r>
      <w:r w:rsidR="009C30FA" w:rsidRPr="001C3C05">
        <w:rPr>
          <w:rFonts w:ascii="Times New Roman" w:hAnsi="Times New Roman" w:cs="Times New Roman"/>
          <w:sz w:val="24"/>
          <w:szCs w:val="24"/>
        </w:rPr>
        <w:t>s inc</w:t>
      </w:r>
      <w:r w:rsidR="00E7213F" w:rsidRPr="001C3C05">
        <w:rPr>
          <w:rFonts w:ascii="Times New Roman" w:hAnsi="Times New Roman" w:cs="Times New Roman"/>
          <w:sz w:val="24"/>
          <w:szCs w:val="24"/>
        </w:rPr>
        <w:t>luding but not limited to a clinical trial certification, an IND or IDE, or other regulatory approvals</w:t>
      </w:r>
      <w:r w:rsidR="00B74954" w:rsidRPr="001C3C05">
        <w:rPr>
          <w:rFonts w:ascii="Times New Roman" w:hAnsi="Times New Roman" w:cs="Times New Roman"/>
          <w:sz w:val="24"/>
          <w:szCs w:val="24"/>
        </w:rPr>
        <w:t xml:space="preserve"> and</w:t>
      </w:r>
      <w:r w:rsidR="00B3272C" w:rsidRPr="001C3C05">
        <w:rPr>
          <w:rFonts w:ascii="Times New Roman" w:hAnsi="Times New Roman" w:cs="Times New Roman"/>
          <w:sz w:val="24"/>
          <w:szCs w:val="24"/>
        </w:rPr>
        <w:t xml:space="preserve"> must </w:t>
      </w:r>
      <w:r w:rsidR="00B74954" w:rsidRPr="001C3C05">
        <w:rPr>
          <w:rFonts w:ascii="Times New Roman" w:hAnsi="Times New Roman" w:cs="Times New Roman"/>
          <w:sz w:val="24"/>
          <w:szCs w:val="24"/>
        </w:rPr>
        <w:t xml:space="preserve">be performed in compliance </w:t>
      </w:r>
      <w:r w:rsidR="009549FE" w:rsidRPr="001C3C05">
        <w:rPr>
          <w:rFonts w:ascii="Times New Roman" w:hAnsi="Times New Roman" w:cs="Times New Roman"/>
          <w:sz w:val="24"/>
          <w:szCs w:val="24"/>
        </w:rPr>
        <w:t xml:space="preserve">with </w:t>
      </w:r>
      <w:r w:rsidR="00B207FA" w:rsidRPr="001C3C05">
        <w:rPr>
          <w:rFonts w:ascii="Times New Roman" w:hAnsi="Times New Roman" w:cs="Times New Roman"/>
          <w:sz w:val="24"/>
          <w:szCs w:val="24"/>
        </w:rPr>
        <w:t>any applicable</w:t>
      </w:r>
      <w:r w:rsidR="00474FC8" w:rsidRPr="001C3C05">
        <w:rPr>
          <w:rFonts w:ascii="Times New Roman" w:hAnsi="Times New Roman" w:cs="Times New Roman"/>
          <w:sz w:val="24"/>
          <w:szCs w:val="24"/>
        </w:rPr>
        <w:t xml:space="preserve"> policy </w:t>
      </w:r>
      <w:r w:rsidR="00B207FA" w:rsidRPr="001C3C05">
        <w:rPr>
          <w:rFonts w:ascii="Times New Roman" w:hAnsi="Times New Roman" w:cs="Times New Roman"/>
          <w:sz w:val="24"/>
          <w:szCs w:val="24"/>
        </w:rPr>
        <w:t xml:space="preserve">of the institution </w:t>
      </w:r>
      <w:r w:rsidR="00474FC8" w:rsidRPr="001C3C05">
        <w:rPr>
          <w:rFonts w:ascii="Times New Roman" w:hAnsi="Times New Roman" w:cs="Times New Roman"/>
          <w:sz w:val="24"/>
          <w:szCs w:val="24"/>
        </w:rPr>
        <w:t>where the research will be conducted</w:t>
      </w:r>
      <w:r w:rsidR="00E7213F" w:rsidRPr="001C3C05">
        <w:t xml:space="preserve"> </w:t>
      </w:r>
    </w:p>
    <w:p w14:paraId="35B7CC95" w14:textId="167D4062" w:rsidR="00DE1B22" w:rsidRPr="001C3C05" w:rsidRDefault="00DE1B22" w:rsidP="00233E08">
      <w:pPr>
        <w:pStyle w:val="SOPLevel2"/>
        <w:numPr>
          <w:ilvl w:val="0"/>
          <w:numId w:val="0"/>
        </w:numPr>
        <w:ind w:left="2880"/>
        <w:rPr>
          <w:rFonts w:ascii="Times New Roman" w:hAnsi="Times New Roman" w:cs="Times New Roman"/>
          <w:sz w:val="24"/>
          <w:szCs w:val="24"/>
        </w:rPr>
      </w:pPr>
      <w:r w:rsidRPr="001C3C05">
        <w:rPr>
          <w:rFonts w:ascii="Times New Roman" w:hAnsi="Times New Roman" w:cs="Times New Roman"/>
          <w:sz w:val="24"/>
          <w:szCs w:val="24"/>
        </w:rPr>
        <w:t xml:space="preserve">2.6.1.1. </w:t>
      </w:r>
      <w:r w:rsidR="00F64E7D" w:rsidRPr="001C3C05">
        <w:rPr>
          <w:rFonts w:ascii="Times New Roman" w:hAnsi="Times New Roman" w:cs="Times New Roman"/>
          <w:sz w:val="24"/>
          <w:szCs w:val="24"/>
        </w:rPr>
        <w:t xml:space="preserve">Investigators must work </w:t>
      </w:r>
      <w:r w:rsidRPr="001C3C05">
        <w:rPr>
          <w:rFonts w:ascii="Times New Roman" w:hAnsi="Times New Roman" w:cs="Times New Roman"/>
          <w:sz w:val="24"/>
          <w:szCs w:val="24"/>
        </w:rPr>
        <w:t>in conjunction with</w:t>
      </w:r>
      <w:r w:rsidR="005C5871" w:rsidRPr="001C3C05">
        <w:rPr>
          <w:rFonts w:ascii="Times New Roman" w:hAnsi="Times New Roman" w:cs="Times New Roman"/>
          <w:sz w:val="24"/>
          <w:szCs w:val="24"/>
        </w:rPr>
        <w:t xml:space="preserve"> </w:t>
      </w:r>
      <w:r w:rsidR="00003735" w:rsidRPr="001C3C05">
        <w:rPr>
          <w:rFonts w:ascii="Times New Roman" w:hAnsi="Times New Roman" w:cs="Times New Roman"/>
          <w:sz w:val="24"/>
          <w:szCs w:val="24"/>
        </w:rPr>
        <w:t xml:space="preserve">offices which oversee </w:t>
      </w:r>
      <w:r w:rsidR="00107AA8" w:rsidRPr="001C3C05">
        <w:rPr>
          <w:rFonts w:ascii="Times New Roman" w:hAnsi="Times New Roman" w:cs="Times New Roman"/>
          <w:sz w:val="24"/>
          <w:szCs w:val="24"/>
        </w:rPr>
        <w:t>cl</w:t>
      </w:r>
      <w:r w:rsidR="00C760DE" w:rsidRPr="001C3C05">
        <w:rPr>
          <w:rFonts w:ascii="Times New Roman" w:hAnsi="Times New Roman" w:cs="Times New Roman"/>
          <w:sz w:val="24"/>
          <w:szCs w:val="24"/>
        </w:rPr>
        <w:t xml:space="preserve">inical </w:t>
      </w:r>
      <w:r w:rsidR="00107AA8" w:rsidRPr="001C3C05">
        <w:rPr>
          <w:rFonts w:ascii="Times New Roman" w:hAnsi="Times New Roman" w:cs="Times New Roman"/>
          <w:sz w:val="24"/>
          <w:szCs w:val="24"/>
        </w:rPr>
        <w:t>t</w:t>
      </w:r>
      <w:r w:rsidR="00C760DE" w:rsidRPr="001C3C05">
        <w:rPr>
          <w:rFonts w:ascii="Times New Roman" w:hAnsi="Times New Roman" w:cs="Times New Roman"/>
          <w:sz w:val="24"/>
          <w:szCs w:val="24"/>
        </w:rPr>
        <w:t>rial</w:t>
      </w:r>
      <w:r w:rsidR="00107AA8" w:rsidRPr="001C3C05">
        <w:rPr>
          <w:rFonts w:ascii="Times New Roman" w:hAnsi="Times New Roman" w:cs="Times New Roman"/>
          <w:sz w:val="24"/>
          <w:szCs w:val="24"/>
        </w:rPr>
        <w:t>s</w:t>
      </w:r>
      <w:r w:rsidR="00C760DE" w:rsidRPr="001C3C05">
        <w:rPr>
          <w:rFonts w:ascii="Times New Roman" w:hAnsi="Times New Roman" w:cs="Times New Roman"/>
          <w:sz w:val="24"/>
          <w:szCs w:val="24"/>
        </w:rPr>
        <w:t xml:space="preserve"> </w:t>
      </w:r>
      <w:r w:rsidR="00E909EF" w:rsidRPr="001C3C05">
        <w:rPr>
          <w:rFonts w:ascii="Times New Roman" w:hAnsi="Times New Roman" w:cs="Times New Roman"/>
          <w:sz w:val="24"/>
          <w:szCs w:val="24"/>
        </w:rPr>
        <w:t>operations</w:t>
      </w:r>
      <w:r w:rsidR="00B74954" w:rsidRPr="001C3C05">
        <w:rPr>
          <w:rFonts w:ascii="Times New Roman" w:hAnsi="Times New Roman" w:cs="Times New Roman"/>
          <w:sz w:val="24"/>
          <w:szCs w:val="24"/>
        </w:rPr>
        <w:t xml:space="preserve"> </w:t>
      </w:r>
      <w:r w:rsidR="00C760DE" w:rsidRPr="001C3C05">
        <w:rPr>
          <w:rFonts w:ascii="Times New Roman" w:hAnsi="Times New Roman" w:cs="Times New Roman"/>
          <w:sz w:val="24"/>
          <w:szCs w:val="24"/>
        </w:rPr>
        <w:t xml:space="preserve">or </w:t>
      </w:r>
      <w:r w:rsidR="00107AA8" w:rsidRPr="001C3C05">
        <w:rPr>
          <w:rFonts w:ascii="Times New Roman" w:hAnsi="Times New Roman" w:cs="Times New Roman"/>
          <w:sz w:val="24"/>
          <w:szCs w:val="24"/>
        </w:rPr>
        <w:t>s</w:t>
      </w:r>
      <w:r w:rsidR="00C760DE" w:rsidRPr="001C3C05">
        <w:rPr>
          <w:rFonts w:ascii="Times New Roman" w:hAnsi="Times New Roman" w:cs="Times New Roman"/>
          <w:sz w:val="24"/>
          <w:szCs w:val="24"/>
        </w:rPr>
        <w:t xml:space="preserve">ponsored </w:t>
      </w:r>
      <w:r w:rsidR="00107AA8" w:rsidRPr="001C3C05">
        <w:rPr>
          <w:rFonts w:ascii="Times New Roman" w:hAnsi="Times New Roman" w:cs="Times New Roman"/>
          <w:sz w:val="24"/>
          <w:szCs w:val="24"/>
        </w:rPr>
        <w:t>p</w:t>
      </w:r>
      <w:r w:rsidR="00C760DE" w:rsidRPr="001C3C05">
        <w:rPr>
          <w:rFonts w:ascii="Times New Roman" w:hAnsi="Times New Roman" w:cs="Times New Roman"/>
          <w:sz w:val="24"/>
          <w:szCs w:val="24"/>
        </w:rPr>
        <w:t>roject</w:t>
      </w:r>
      <w:r w:rsidR="00107AA8" w:rsidRPr="001C3C05">
        <w:rPr>
          <w:rFonts w:ascii="Times New Roman" w:hAnsi="Times New Roman" w:cs="Times New Roman"/>
          <w:sz w:val="24"/>
          <w:szCs w:val="24"/>
        </w:rPr>
        <w:t>s</w:t>
      </w:r>
      <w:r w:rsidR="00F64E7D" w:rsidRPr="001C3C05">
        <w:rPr>
          <w:rFonts w:ascii="Times New Roman" w:hAnsi="Times New Roman" w:cs="Times New Roman"/>
          <w:sz w:val="24"/>
          <w:szCs w:val="24"/>
        </w:rPr>
        <w:t xml:space="preserve"> </w:t>
      </w:r>
      <w:r w:rsidRPr="001C3C05">
        <w:rPr>
          <w:rFonts w:ascii="Times New Roman" w:hAnsi="Times New Roman" w:cs="Times New Roman"/>
          <w:sz w:val="24"/>
          <w:szCs w:val="24"/>
        </w:rPr>
        <w:t xml:space="preserve">to determine whether an application or guidance is required from the FDA. </w:t>
      </w:r>
    </w:p>
    <w:p w14:paraId="5A035B62" w14:textId="6FC7FC55" w:rsidR="003F14F4" w:rsidRPr="001C3C05" w:rsidRDefault="0044121B" w:rsidP="00A6433F">
      <w:pPr>
        <w:pStyle w:val="SOPLevel2"/>
        <w:numPr>
          <w:ilvl w:val="0"/>
          <w:numId w:val="0"/>
        </w:numPr>
        <w:spacing w:before="0" w:after="0"/>
        <w:ind w:left="2880"/>
        <w:rPr>
          <w:rFonts w:ascii="Times New Roman" w:hAnsi="Times New Roman" w:cs="Times New Roman"/>
          <w:sz w:val="24"/>
          <w:szCs w:val="24"/>
        </w:rPr>
      </w:pPr>
      <w:r w:rsidRPr="001C3C05">
        <w:rPr>
          <w:rFonts w:ascii="Times New Roman" w:hAnsi="Times New Roman" w:cs="Times New Roman"/>
          <w:sz w:val="24"/>
          <w:szCs w:val="24"/>
        </w:rPr>
        <w:t xml:space="preserve">     </w:t>
      </w:r>
      <w:r w:rsidR="0079519A" w:rsidRPr="001C3C05">
        <w:rPr>
          <w:rFonts w:ascii="Times New Roman" w:hAnsi="Times New Roman" w:cs="Times New Roman"/>
          <w:sz w:val="24"/>
          <w:szCs w:val="24"/>
        </w:rPr>
        <w:t>2.6.1.</w:t>
      </w:r>
      <w:r w:rsidR="00203B9E" w:rsidRPr="001C3C05">
        <w:rPr>
          <w:rFonts w:ascii="Times New Roman" w:hAnsi="Times New Roman" w:cs="Times New Roman"/>
          <w:sz w:val="24"/>
          <w:szCs w:val="24"/>
        </w:rPr>
        <w:t>1.</w:t>
      </w:r>
      <w:r w:rsidR="00EF7378" w:rsidRPr="001C3C05">
        <w:rPr>
          <w:rFonts w:ascii="Times New Roman" w:hAnsi="Times New Roman" w:cs="Times New Roman"/>
          <w:sz w:val="24"/>
          <w:szCs w:val="24"/>
        </w:rPr>
        <w:t>1</w:t>
      </w:r>
      <w:r w:rsidRPr="001C3C05">
        <w:rPr>
          <w:rFonts w:ascii="Times New Roman" w:hAnsi="Times New Roman" w:cs="Times New Roman"/>
          <w:sz w:val="24"/>
          <w:szCs w:val="24"/>
        </w:rPr>
        <w:t>.</w:t>
      </w:r>
      <w:r w:rsidR="00203B9E" w:rsidRPr="001C3C05">
        <w:rPr>
          <w:rFonts w:ascii="Times New Roman" w:hAnsi="Times New Roman" w:cs="Times New Roman"/>
          <w:sz w:val="24"/>
          <w:szCs w:val="24"/>
        </w:rPr>
        <w:t xml:space="preserve"> </w:t>
      </w:r>
      <w:r w:rsidR="00DE1B22" w:rsidRPr="001C3C05">
        <w:rPr>
          <w:rFonts w:ascii="Times New Roman" w:hAnsi="Times New Roman" w:cs="Times New Roman"/>
          <w:sz w:val="24"/>
          <w:szCs w:val="24"/>
        </w:rPr>
        <w:t>If consultation or application is required</w:t>
      </w:r>
      <w:r w:rsidR="00B74954" w:rsidRPr="001C3C05">
        <w:rPr>
          <w:rFonts w:ascii="Times New Roman" w:hAnsi="Times New Roman" w:cs="Times New Roman"/>
          <w:sz w:val="24"/>
          <w:szCs w:val="24"/>
        </w:rPr>
        <w:t>,</w:t>
      </w:r>
      <w:r w:rsidR="00BC4C0C" w:rsidRPr="001C3C05">
        <w:rPr>
          <w:rFonts w:ascii="Times New Roman" w:hAnsi="Times New Roman" w:cs="Times New Roman"/>
          <w:sz w:val="24"/>
          <w:szCs w:val="24"/>
        </w:rPr>
        <w:t xml:space="preserve"> the investigator will contact the FDA ombudsman for the appropriate therapeutic area as part of a pre-review process</w:t>
      </w:r>
      <w:r w:rsidR="002F0BE0" w:rsidRPr="001C3C05">
        <w:rPr>
          <w:rFonts w:ascii="Times New Roman" w:hAnsi="Times New Roman" w:cs="Times New Roman"/>
          <w:sz w:val="24"/>
          <w:szCs w:val="24"/>
        </w:rPr>
        <w:t>.</w:t>
      </w:r>
    </w:p>
    <w:p w14:paraId="4D1D3631" w14:textId="5D89BD83" w:rsidR="00DE1B22" w:rsidRPr="001C3C05" w:rsidRDefault="009A134C" w:rsidP="00A6433F">
      <w:pPr>
        <w:pStyle w:val="SOPLevel4"/>
        <w:numPr>
          <w:ilvl w:val="0"/>
          <w:numId w:val="0"/>
        </w:numPr>
        <w:spacing w:before="0" w:after="0"/>
        <w:ind w:left="3168" w:hanging="288"/>
        <w:rPr>
          <w:rFonts w:ascii="Times New Roman" w:hAnsi="Times New Roman" w:cs="Times New Roman"/>
          <w:sz w:val="24"/>
          <w:szCs w:val="24"/>
        </w:rPr>
      </w:pPr>
      <w:r w:rsidRPr="001C3C05">
        <w:rPr>
          <w:rFonts w:ascii="Times New Roman" w:hAnsi="Times New Roman" w:cs="Times New Roman"/>
          <w:sz w:val="24"/>
          <w:szCs w:val="24"/>
        </w:rPr>
        <w:t xml:space="preserve">2.6.1.2. </w:t>
      </w:r>
      <w:r w:rsidR="003F14F4" w:rsidRPr="001C3C05">
        <w:rPr>
          <w:rFonts w:ascii="Times New Roman" w:hAnsi="Times New Roman" w:cs="Times New Roman"/>
          <w:sz w:val="24"/>
          <w:szCs w:val="24"/>
        </w:rPr>
        <w:t>If a</w:t>
      </w:r>
      <w:r w:rsidR="000B5544" w:rsidRPr="001C3C05">
        <w:rPr>
          <w:rFonts w:ascii="Times New Roman" w:hAnsi="Times New Roman" w:cs="Times New Roman"/>
          <w:sz w:val="24"/>
          <w:szCs w:val="24"/>
        </w:rPr>
        <w:t>n application is required</w:t>
      </w:r>
      <w:r w:rsidR="008C0A14" w:rsidRPr="001C3C05">
        <w:rPr>
          <w:rFonts w:ascii="Times New Roman" w:hAnsi="Times New Roman" w:cs="Times New Roman"/>
          <w:sz w:val="24"/>
          <w:szCs w:val="24"/>
        </w:rPr>
        <w:t>, the investigator must wait 30 days to receive a response before implementing any</w:t>
      </w:r>
      <w:r w:rsidR="00544F48" w:rsidRPr="001C3C05">
        <w:rPr>
          <w:rFonts w:ascii="Times New Roman" w:hAnsi="Times New Roman" w:cs="Times New Roman"/>
          <w:sz w:val="24"/>
          <w:szCs w:val="24"/>
        </w:rPr>
        <w:t xml:space="preserve"> research</w:t>
      </w:r>
      <w:r w:rsidR="008C0A14" w:rsidRPr="001C3C05">
        <w:rPr>
          <w:rFonts w:ascii="Times New Roman" w:hAnsi="Times New Roman" w:cs="Times New Roman"/>
          <w:sz w:val="24"/>
          <w:szCs w:val="24"/>
        </w:rPr>
        <w:t xml:space="preserve"> activities and </w:t>
      </w:r>
      <w:r w:rsidR="002152EE" w:rsidRPr="001C3C05">
        <w:rPr>
          <w:rFonts w:ascii="Times New Roman" w:hAnsi="Times New Roman" w:cs="Times New Roman"/>
          <w:sz w:val="24"/>
          <w:szCs w:val="24"/>
        </w:rPr>
        <w:t>the IRB</w:t>
      </w:r>
      <w:r w:rsidR="00203B9E" w:rsidRPr="001C3C05">
        <w:rPr>
          <w:rFonts w:ascii="Times New Roman" w:hAnsi="Times New Roman" w:cs="Times New Roman"/>
          <w:sz w:val="24"/>
          <w:szCs w:val="24"/>
        </w:rPr>
        <w:t xml:space="preserve"> </w:t>
      </w:r>
      <w:r w:rsidR="008C0A14" w:rsidRPr="001C3C05">
        <w:rPr>
          <w:rFonts w:ascii="Times New Roman" w:hAnsi="Times New Roman" w:cs="Times New Roman"/>
          <w:sz w:val="24"/>
          <w:szCs w:val="24"/>
        </w:rPr>
        <w:t xml:space="preserve"> application</w:t>
      </w:r>
      <w:r w:rsidRPr="001C3C05">
        <w:rPr>
          <w:rFonts w:ascii="Times New Roman" w:hAnsi="Times New Roman" w:cs="Times New Roman"/>
          <w:sz w:val="24"/>
          <w:szCs w:val="24"/>
        </w:rPr>
        <w:t xml:space="preserve"> </w:t>
      </w:r>
      <w:r w:rsidR="00EF583E" w:rsidRPr="001C3C05">
        <w:rPr>
          <w:rFonts w:ascii="Times New Roman" w:hAnsi="Times New Roman" w:cs="Times New Roman"/>
          <w:sz w:val="24"/>
          <w:szCs w:val="24"/>
        </w:rPr>
        <w:t>must include the FDA letter indicating</w:t>
      </w:r>
      <w:r w:rsidRPr="001C3C05">
        <w:rPr>
          <w:rFonts w:ascii="Times New Roman" w:hAnsi="Times New Roman" w:cs="Times New Roman"/>
          <w:sz w:val="24"/>
          <w:szCs w:val="24"/>
        </w:rPr>
        <w:t xml:space="preserve"> whether the IND </w:t>
      </w:r>
      <w:r w:rsidR="00EF583E" w:rsidRPr="001C3C05">
        <w:rPr>
          <w:rFonts w:ascii="Times New Roman" w:hAnsi="Times New Roman" w:cs="Times New Roman"/>
          <w:sz w:val="24"/>
          <w:szCs w:val="24"/>
        </w:rPr>
        <w:t>or</w:t>
      </w:r>
      <w:r w:rsidRPr="001C3C05">
        <w:rPr>
          <w:rFonts w:ascii="Times New Roman" w:hAnsi="Times New Roman" w:cs="Times New Roman"/>
          <w:sz w:val="24"/>
          <w:szCs w:val="24"/>
        </w:rPr>
        <w:t xml:space="preserve"> IDE application was approved, approved with conditions, or disapproved; and all information submitted to the FDA as part of the application.</w:t>
      </w:r>
    </w:p>
    <w:p w14:paraId="436B0C07" w14:textId="6D17912E" w:rsidR="008C0A14" w:rsidRPr="0089521A" w:rsidRDefault="009A134C" w:rsidP="008D7DE1">
      <w:pPr>
        <w:pStyle w:val="SOPLevel4"/>
        <w:numPr>
          <w:ilvl w:val="0"/>
          <w:numId w:val="0"/>
        </w:numPr>
        <w:ind w:left="3168" w:hanging="288"/>
        <w:rPr>
          <w:rFonts w:ascii="Times New Roman" w:hAnsi="Times New Roman" w:cs="Times New Roman"/>
          <w:sz w:val="24"/>
          <w:szCs w:val="24"/>
        </w:rPr>
      </w:pPr>
      <w:r w:rsidRPr="001C3C05">
        <w:rPr>
          <w:rFonts w:ascii="Times New Roman" w:hAnsi="Times New Roman" w:cs="Times New Roman"/>
          <w:sz w:val="24"/>
          <w:szCs w:val="24"/>
        </w:rPr>
        <w:t>2.6.</w:t>
      </w:r>
      <w:r w:rsidR="008D7DE1" w:rsidRPr="001C3C05">
        <w:rPr>
          <w:rFonts w:ascii="Times New Roman" w:hAnsi="Times New Roman" w:cs="Times New Roman"/>
          <w:sz w:val="24"/>
          <w:szCs w:val="24"/>
        </w:rPr>
        <w:t>1.3</w:t>
      </w:r>
      <w:r w:rsidR="004735AA" w:rsidRPr="001C3C05">
        <w:rPr>
          <w:rFonts w:ascii="Times New Roman" w:hAnsi="Times New Roman" w:cs="Times New Roman"/>
          <w:sz w:val="24"/>
          <w:szCs w:val="24"/>
        </w:rPr>
        <w:t>.</w:t>
      </w:r>
      <w:r w:rsidR="008D7DE1" w:rsidRPr="001C3C05">
        <w:rPr>
          <w:rFonts w:ascii="Times New Roman" w:hAnsi="Times New Roman" w:cs="Times New Roman"/>
          <w:sz w:val="24"/>
          <w:szCs w:val="24"/>
        </w:rPr>
        <w:t xml:space="preserve"> </w:t>
      </w:r>
      <w:r w:rsidR="008C0A14" w:rsidRPr="001C3C05">
        <w:rPr>
          <w:rFonts w:ascii="Times New Roman" w:hAnsi="Times New Roman" w:cs="Times New Roman"/>
          <w:sz w:val="24"/>
          <w:szCs w:val="24"/>
        </w:rPr>
        <w:t xml:space="preserve">All research in Drexel’s purview in conducted in accordance with </w:t>
      </w:r>
      <w:r w:rsidR="00D96606" w:rsidRPr="001C3C05">
        <w:rPr>
          <w:rFonts w:ascii="Times New Roman" w:hAnsi="Times New Roman" w:cs="Times New Roman"/>
          <w:sz w:val="24"/>
          <w:szCs w:val="24"/>
        </w:rPr>
        <w:t>Title VII of the FDAAA section, 4</w:t>
      </w:r>
      <w:r w:rsidR="005B7AC9" w:rsidRPr="001C3C05">
        <w:rPr>
          <w:rFonts w:ascii="Times New Roman" w:hAnsi="Times New Roman" w:cs="Times New Roman"/>
          <w:sz w:val="24"/>
          <w:szCs w:val="24"/>
        </w:rPr>
        <w:t>0</w:t>
      </w:r>
      <w:r w:rsidR="00D96606" w:rsidRPr="001C3C05">
        <w:rPr>
          <w:rFonts w:ascii="Times New Roman" w:hAnsi="Times New Roman" w:cs="Times New Roman"/>
          <w:sz w:val="24"/>
          <w:szCs w:val="24"/>
        </w:rPr>
        <w:t>2</w:t>
      </w:r>
      <w:r w:rsidR="005B7AC9" w:rsidRPr="001C3C05">
        <w:rPr>
          <w:rFonts w:ascii="Times New Roman" w:hAnsi="Times New Roman" w:cs="Times New Roman"/>
          <w:sz w:val="24"/>
          <w:szCs w:val="24"/>
        </w:rPr>
        <w:t>(j) [</w:t>
      </w:r>
      <w:r w:rsidR="00D96606" w:rsidRPr="001C3C05">
        <w:rPr>
          <w:rFonts w:ascii="Times New Roman" w:hAnsi="Times New Roman" w:cs="Times New Roman"/>
          <w:sz w:val="24"/>
          <w:szCs w:val="24"/>
        </w:rPr>
        <w:t>USC § 282(j)</w:t>
      </w:r>
      <w:r w:rsidR="005B7AC9" w:rsidRPr="001C3C05">
        <w:rPr>
          <w:rFonts w:ascii="Times New Roman" w:hAnsi="Times New Roman" w:cs="Times New Roman"/>
          <w:sz w:val="24"/>
          <w:szCs w:val="24"/>
        </w:rPr>
        <w:t>]. This r</w:t>
      </w:r>
      <w:r w:rsidR="00694346" w:rsidRPr="001C3C05">
        <w:rPr>
          <w:rFonts w:ascii="Times New Roman" w:hAnsi="Times New Roman" w:cs="Times New Roman"/>
          <w:sz w:val="24"/>
          <w:szCs w:val="24"/>
        </w:rPr>
        <w:t xml:space="preserve">equires that the time of submission of an application under section 505 of the FDCA, the </w:t>
      </w:r>
      <w:r w:rsidR="00EE69B5" w:rsidRPr="001C3C05">
        <w:rPr>
          <w:rFonts w:ascii="Times New Roman" w:hAnsi="Times New Roman" w:cs="Times New Roman"/>
          <w:sz w:val="24"/>
          <w:szCs w:val="24"/>
        </w:rPr>
        <w:t>application must be accompanied by a certification that all applicable requirements of 42 USC §282(j) have be met and, where available, the certification must include the appropriate National Clinical Trial (NCT) numbers.</w:t>
      </w:r>
    </w:p>
    <w:p w14:paraId="246016A4" w14:textId="5ACF0427" w:rsidR="003F14F4" w:rsidRPr="006B15AB" w:rsidRDefault="003F14F4" w:rsidP="00233E08">
      <w:pPr>
        <w:pStyle w:val="SOPLevel2"/>
        <w:numPr>
          <w:ilvl w:val="0"/>
          <w:numId w:val="0"/>
        </w:numPr>
        <w:ind w:left="2070" w:hanging="1080"/>
      </w:pPr>
    </w:p>
    <w:p w14:paraId="3F026A4B" w14:textId="77777777" w:rsidR="006B15AB" w:rsidRPr="00EE4062" w:rsidRDefault="006B15AB" w:rsidP="006B15AB">
      <w:pPr>
        <w:pStyle w:val="SOPLevel1"/>
        <w:rPr>
          <w:rFonts w:ascii="Times New Roman" w:hAnsi="Times New Roman" w:cs="Times New Roman"/>
          <w:szCs w:val="28"/>
        </w:rPr>
      </w:pPr>
      <w:r w:rsidRPr="00EE4062">
        <w:rPr>
          <w:rFonts w:ascii="Times New Roman" w:hAnsi="Times New Roman" w:cs="Times New Roman"/>
          <w:szCs w:val="28"/>
        </w:rPr>
        <w:t>REFERENCES</w:t>
      </w:r>
    </w:p>
    <w:p w14:paraId="5AB49E7B" w14:textId="0FD5AB22" w:rsidR="006B15AB" w:rsidRPr="006B15AB" w:rsidRDefault="00EC607D" w:rsidP="006B15AB">
      <w:pPr>
        <w:pStyle w:val="SOPLevel2"/>
        <w:rPr>
          <w:rFonts w:ascii="Times New Roman" w:hAnsi="Times New Roman" w:cs="Times New Roman"/>
          <w:sz w:val="24"/>
          <w:szCs w:val="24"/>
        </w:rPr>
      </w:pPr>
      <w:hyperlink r:id="rId19" w:history="1">
        <w:r w:rsidR="006B15AB" w:rsidRPr="00A95528">
          <w:rPr>
            <w:rStyle w:val="Hyperlink"/>
            <w:rFonts w:ascii="Times New Roman" w:hAnsi="Times New Roman" w:cs="Times New Roman"/>
            <w:sz w:val="24"/>
            <w:szCs w:val="24"/>
          </w:rPr>
          <w:t>21 CFR</w:t>
        </w:r>
      </w:hyperlink>
      <w:r w:rsidR="006B15AB" w:rsidRPr="006B15AB">
        <w:rPr>
          <w:rFonts w:ascii="Times New Roman" w:hAnsi="Times New Roman" w:cs="Times New Roman"/>
          <w:sz w:val="24"/>
          <w:szCs w:val="24"/>
        </w:rPr>
        <w:t xml:space="preserve"> </w:t>
      </w:r>
      <w:hyperlink r:id="rId20" w:history="1">
        <w:r w:rsidR="006B15AB" w:rsidRPr="000D2956">
          <w:rPr>
            <w:rStyle w:val="Hyperlink"/>
            <w:rFonts w:ascii="Times New Roman" w:hAnsi="Times New Roman" w:cs="Times New Roman"/>
            <w:sz w:val="24"/>
            <w:szCs w:val="24"/>
          </w:rPr>
          <w:t>§312.60</w:t>
        </w:r>
      </w:hyperlink>
      <w:r w:rsidR="006B15AB" w:rsidRPr="006B15AB">
        <w:rPr>
          <w:rFonts w:ascii="Times New Roman" w:hAnsi="Times New Roman" w:cs="Times New Roman"/>
          <w:sz w:val="24"/>
          <w:szCs w:val="24"/>
        </w:rPr>
        <w:t xml:space="preserve">, </w:t>
      </w:r>
      <w:hyperlink r:id="rId21" w:history="1">
        <w:r w:rsidR="006B15AB" w:rsidRPr="002E2DD3">
          <w:rPr>
            <w:rStyle w:val="Hyperlink"/>
            <w:rFonts w:ascii="Times New Roman" w:hAnsi="Times New Roman" w:cs="Times New Roman"/>
            <w:sz w:val="24"/>
            <w:szCs w:val="24"/>
          </w:rPr>
          <w:t>§312.61</w:t>
        </w:r>
      </w:hyperlink>
      <w:r w:rsidR="006B15AB" w:rsidRPr="006B15AB">
        <w:rPr>
          <w:rFonts w:ascii="Times New Roman" w:hAnsi="Times New Roman" w:cs="Times New Roman"/>
          <w:sz w:val="24"/>
          <w:szCs w:val="24"/>
        </w:rPr>
        <w:t xml:space="preserve">, </w:t>
      </w:r>
      <w:hyperlink r:id="rId22" w:history="1">
        <w:r w:rsidR="006B15AB" w:rsidRPr="00723C6E">
          <w:rPr>
            <w:rStyle w:val="Hyperlink"/>
            <w:rFonts w:ascii="Times New Roman" w:hAnsi="Times New Roman" w:cs="Times New Roman"/>
            <w:sz w:val="24"/>
            <w:szCs w:val="24"/>
          </w:rPr>
          <w:t>§312.62</w:t>
        </w:r>
      </w:hyperlink>
      <w:r w:rsidR="006B15AB" w:rsidRPr="006B15AB">
        <w:rPr>
          <w:rFonts w:ascii="Times New Roman" w:hAnsi="Times New Roman" w:cs="Times New Roman"/>
          <w:sz w:val="24"/>
          <w:szCs w:val="24"/>
        </w:rPr>
        <w:t xml:space="preserve">, </w:t>
      </w:r>
      <w:hyperlink r:id="rId23" w:history="1">
        <w:r w:rsidR="006B15AB" w:rsidRPr="00AB3E01">
          <w:rPr>
            <w:rStyle w:val="Hyperlink"/>
            <w:rFonts w:ascii="Times New Roman" w:hAnsi="Times New Roman" w:cs="Times New Roman"/>
            <w:sz w:val="24"/>
            <w:szCs w:val="24"/>
          </w:rPr>
          <w:t>§312.64</w:t>
        </w:r>
      </w:hyperlink>
      <w:r w:rsidR="006B15AB" w:rsidRPr="006B15AB">
        <w:rPr>
          <w:rFonts w:ascii="Times New Roman" w:hAnsi="Times New Roman" w:cs="Times New Roman"/>
          <w:sz w:val="24"/>
          <w:szCs w:val="24"/>
        </w:rPr>
        <w:t xml:space="preserve">, </w:t>
      </w:r>
      <w:hyperlink r:id="rId24" w:history="1">
        <w:r w:rsidR="006B15AB" w:rsidRPr="00C95724">
          <w:rPr>
            <w:rStyle w:val="Hyperlink"/>
            <w:rFonts w:ascii="Times New Roman" w:hAnsi="Times New Roman" w:cs="Times New Roman"/>
            <w:sz w:val="24"/>
            <w:szCs w:val="24"/>
          </w:rPr>
          <w:t>§312.66</w:t>
        </w:r>
      </w:hyperlink>
      <w:r w:rsidR="006B15AB" w:rsidRPr="006B15AB">
        <w:rPr>
          <w:rFonts w:ascii="Times New Roman" w:hAnsi="Times New Roman" w:cs="Times New Roman"/>
          <w:sz w:val="24"/>
          <w:szCs w:val="24"/>
        </w:rPr>
        <w:t xml:space="preserve">, </w:t>
      </w:r>
      <w:hyperlink r:id="rId25" w:history="1">
        <w:r w:rsidR="006B15AB" w:rsidRPr="00C95724">
          <w:rPr>
            <w:rStyle w:val="Hyperlink"/>
            <w:rFonts w:ascii="Times New Roman" w:hAnsi="Times New Roman" w:cs="Times New Roman"/>
            <w:sz w:val="24"/>
            <w:szCs w:val="24"/>
          </w:rPr>
          <w:t>§312.68</w:t>
        </w:r>
      </w:hyperlink>
      <w:r w:rsidR="006B15AB" w:rsidRPr="006B15AB">
        <w:rPr>
          <w:rFonts w:ascii="Times New Roman" w:hAnsi="Times New Roman" w:cs="Times New Roman"/>
          <w:sz w:val="24"/>
          <w:szCs w:val="24"/>
        </w:rPr>
        <w:t xml:space="preserve">, </w:t>
      </w:r>
      <w:hyperlink r:id="rId26" w:history="1">
        <w:r w:rsidR="006B15AB" w:rsidRPr="00B03E23">
          <w:rPr>
            <w:rStyle w:val="Hyperlink"/>
            <w:rFonts w:ascii="Times New Roman" w:hAnsi="Times New Roman" w:cs="Times New Roman"/>
            <w:sz w:val="24"/>
            <w:szCs w:val="24"/>
          </w:rPr>
          <w:t>§312.69</w:t>
        </w:r>
      </w:hyperlink>
      <w:r w:rsidR="006B15AB" w:rsidRPr="006B15AB">
        <w:rPr>
          <w:rFonts w:ascii="Times New Roman" w:hAnsi="Times New Roman" w:cs="Times New Roman"/>
          <w:sz w:val="24"/>
          <w:szCs w:val="24"/>
        </w:rPr>
        <w:t xml:space="preserve">, </w:t>
      </w:r>
      <w:hyperlink r:id="rId27" w:history="1">
        <w:r w:rsidR="006B15AB" w:rsidRPr="00B03E23">
          <w:rPr>
            <w:rStyle w:val="Hyperlink"/>
            <w:rFonts w:ascii="Times New Roman" w:hAnsi="Times New Roman" w:cs="Times New Roman"/>
            <w:sz w:val="24"/>
            <w:szCs w:val="24"/>
          </w:rPr>
          <w:t>§312.300</w:t>
        </w:r>
      </w:hyperlink>
      <w:r w:rsidR="006B15AB" w:rsidRPr="006B15AB">
        <w:rPr>
          <w:rFonts w:ascii="Times New Roman" w:hAnsi="Times New Roman" w:cs="Times New Roman"/>
          <w:sz w:val="24"/>
          <w:szCs w:val="24"/>
        </w:rPr>
        <w:t xml:space="preserve">, </w:t>
      </w:r>
      <w:hyperlink r:id="rId28" w:history="1">
        <w:r w:rsidR="006B15AB" w:rsidRPr="00557C13">
          <w:rPr>
            <w:rStyle w:val="Hyperlink"/>
            <w:rFonts w:ascii="Times New Roman" w:hAnsi="Times New Roman" w:cs="Times New Roman"/>
            <w:sz w:val="24"/>
            <w:szCs w:val="24"/>
          </w:rPr>
          <w:t>§312.305</w:t>
        </w:r>
      </w:hyperlink>
      <w:r w:rsidR="006B15AB" w:rsidRPr="006B15AB">
        <w:rPr>
          <w:rFonts w:ascii="Times New Roman" w:hAnsi="Times New Roman" w:cs="Times New Roman"/>
          <w:sz w:val="24"/>
          <w:szCs w:val="24"/>
        </w:rPr>
        <w:t xml:space="preserve">, </w:t>
      </w:r>
      <w:hyperlink r:id="rId29" w:history="1">
        <w:r w:rsidR="006B15AB" w:rsidRPr="003926DD">
          <w:rPr>
            <w:rStyle w:val="Hyperlink"/>
            <w:rFonts w:ascii="Times New Roman" w:hAnsi="Times New Roman" w:cs="Times New Roman"/>
            <w:sz w:val="24"/>
            <w:szCs w:val="24"/>
          </w:rPr>
          <w:t>§812.40</w:t>
        </w:r>
      </w:hyperlink>
      <w:r w:rsidR="006B15AB" w:rsidRPr="006B15AB">
        <w:rPr>
          <w:rFonts w:ascii="Times New Roman" w:hAnsi="Times New Roman" w:cs="Times New Roman"/>
          <w:sz w:val="24"/>
          <w:szCs w:val="24"/>
        </w:rPr>
        <w:t xml:space="preserve">, </w:t>
      </w:r>
      <w:hyperlink r:id="rId30" w:history="1">
        <w:r w:rsidR="006B15AB" w:rsidRPr="00913C2F">
          <w:rPr>
            <w:rStyle w:val="Hyperlink"/>
            <w:rFonts w:ascii="Times New Roman" w:hAnsi="Times New Roman" w:cs="Times New Roman"/>
            <w:sz w:val="24"/>
            <w:szCs w:val="24"/>
          </w:rPr>
          <w:t>§812.42,</w:t>
        </w:r>
      </w:hyperlink>
      <w:r w:rsidR="006B15AB" w:rsidRPr="006B15AB">
        <w:rPr>
          <w:rFonts w:ascii="Times New Roman" w:hAnsi="Times New Roman" w:cs="Times New Roman"/>
          <w:sz w:val="24"/>
          <w:szCs w:val="24"/>
        </w:rPr>
        <w:t xml:space="preserve"> </w:t>
      </w:r>
      <w:hyperlink r:id="rId31" w:history="1">
        <w:r w:rsidR="006B15AB" w:rsidRPr="00851442">
          <w:rPr>
            <w:rStyle w:val="Hyperlink"/>
            <w:rFonts w:ascii="Times New Roman" w:hAnsi="Times New Roman" w:cs="Times New Roman"/>
            <w:sz w:val="24"/>
            <w:szCs w:val="24"/>
          </w:rPr>
          <w:t>§812.43</w:t>
        </w:r>
      </w:hyperlink>
      <w:r w:rsidR="006B15AB" w:rsidRPr="006B15AB">
        <w:rPr>
          <w:rFonts w:ascii="Times New Roman" w:hAnsi="Times New Roman" w:cs="Times New Roman"/>
          <w:sz w:val="24"/>
          <w:szCs w:val="24"/>
        </w:rPr>
        <w:t xml:space="preserve">, </w:t>
      </w:r>
      <w:hyperlink r:id="rId32" w:history="1">
        <w:r w:rsidR="006B15AB" w:rsidRPr="00851442">
          <w:rPr>
            <w:rStyle w:val="Hyperlink"/>
            <w:rFonts w:ascii="Times New Roman" w:hAnsi="Times New Roman" w:cs="Times New Roman"/>
            <w:sz w:val="24"/>
            <w:szCs w:val="24"/>
          </w:rPr>
          <w:t>§812.45</w:t>
        </w:r>
      </w:hyperlink>
      <w:r w:rsidR="006B15AB" w:rsidRPr="006B15AB">
        <w:rPr>
          <w:rFonts w:ascii="Times New Roman" w:hAnsi="Times New Roman" w:cs="Times New Roman"/>
          <w:sz w:val="24"/>
          <w:szCs w:val="24"/>
        </w:rPr>
        <w:t xml:space="preserve">, </w:t>
      </w:r>
      <w:hyperlink r:id="rId33" w:history="1">
        <w:r w:rsidR="006B15AB" w:rsidRPr="000C49C3">
          <w:rPr>
            <w:rStyle w:val="Hyperlink"/>
            <w:rFonts w:ascii="Times New Roman" w:hAnsi="Times New Roman" w:cs="Times New Roman"/>
            <w:sz w:val="24"/>
            <w:szCs w:val="24"/>
          </w:rPr>
          <w:t>§812.46</w:t>
        </w:r>
      </w:hyperlink>
    </w:p>
    <w:p w14:paraId="5F24E476" w14:textId="4BE659F0" w:rsidR="008D62A8" w:rsidRPr="006B15AB" w:rsidRDefault="008D62A8" w:rsidP="00012CB8">
      <w:pPr>
        <w:rPr>
          <w:rFonts w:ascii="Times New Roman" w:hAnsi="Times New Roman" w:cs="Times New Roman"/>
          <w:sz w:val="24"/>
          <w:szCs w:val="24"/>
        </w:rPr>
      </w:pPr>
    </w:p>
    <w:sectPr w:rsidR="008D62A8" w:rsidRPr="006B15AB" w:rsidSect="00AD7031">
      <w:headerReference w:type="default" r:id="rId34"/>
      <w:footerReference w:type="default" r:id="rId35"/>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2454E" w14:textId="77777777" w:rsidR="00EC607D" w:rsidRDefault="00EC607D" w:rsidP="00C1774D">
      <w:pPr>
        <w:spacing w:after="0" w:line="240" w:lineRule="auto"/>
      </w:pPr>
      <w:r>
        <w:separator/>
      </w:r>
    </w:p>
  </w:endnote>
  <w:endnote w:type="continuationSeparator" w:id="0">
    <w:p w14:paraId="726DC2EA" w14:textId="77777777" w:rsidR="00EC607D" w:rsidRDefault="00EC607D" w:rsidP="00C1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1A5E" w14:textId="211F2124" w:rsidR="00092E47" w:rsidRPr="00396CB8" w:rsidRDefault="00F81ACF" w:rsidP="00F81ACF">
    <w:pPr>
      <w:pStyle w:val="Footer"/>
      <w:jc w:val="center"/>
      <w:rPr>
        <w:rFonts w:ascii="Times New Roman" w:hAnsi="Times New Roman" w:cs="Times New Roman"/>
        <w:sz w:val="16"/>
        <w:szCs w:val="16"/>
      </w:rPr>
    </w:pPr>
    <w:r w:rsidRPr="00396CB8">
      <w:rPr>
        <w:rFonts w:ascii="Times New Roman" w:hAnsi="Times New Roman" w:cs="Times New Roman"/>
        <w:sz w:val="16"/>
        <w:szCs w:val="16"/>
      </w:rPr>
      <w:t xml:space="preserve">This work is licensed by </w:t>
    </w:r>
    <w:hyperlink r:id="rId1" w:history="1">
      <w:r w:rsidRPr="00396CB8">
        <w:rPr>
          <w:rStyle w:val="Hyperlink"/>
          <w:rFonts w:ascii="Times New Roman" w:hAnsi="Times New Roman" w:cs="Times New Roman"/>
          <w:sz w:val="16"/>
          <w:szCs w:val="16"/>
        </w:rPr>
        <w:t>WIRB Copernicus Group, Inc.</w:t>
      </w:r>
    </w:hyperlink>
    <w:r w:rsidRPr="00396CB8">
      <w:rPr>
        <w:rFonts w:ascii="Times New Roman" w:hAnsi="Times New Roman" w:cs="Times New Roman"/>
        <w:sz w:val="16"/>
        <w:szCs w:val="16"/>
      </w:rPr>
      <w:t xml:space="preserve"> under a </w:t>
    </w:r>
    <w:hyperlink r:id="rId2" w:history="1">
      <w:r w:rsidRPr="00396CB8">
        <w:rPr>
          <w:rStyle w:val="Hyperlink"/>
          <w:rFonts w:ascii="Times New Roman" w:hAnsi="Times New Roman" w:cs="Times New Roman"/>
          <w:sz w:val="16"/>
          <w:szCs w:val="16"/>
        </w:rPr>
        <w:t>Creative Commons Attribution-NonCommercial-ShareAlike 4.0 International License</w:t>
      </w:r>
    </w:hyperlink>
    <w:r w:rsidRPr="00396CB8">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E19D1" w14:textId="77777777" w:rsidR="00EC607D" w:rsidRDefault="00EC607D" w:rsidP="00C1774D">
      <w:pPr>
        <w:spacing w:after="0" w:line="240" w:lineRule="auto"/>
      </w:pPr>
      <w:r>
        <w:separator/>
      </w:r>
    </w:p>
  </w:footnote>
  <w:footnote w:type="continuationSeparator" w:id="0">
    <w:p w14:paraId="400B1F1A" w14:textId="77777777" w:rsidR="00EC607D" w:rsidRDefault="00EC607D" w:rsidP="00C17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3098" w:type="pct"/>
      <w:tblInd w:w="3865" w:type="dxa"/>
      <w:tblLayout w:type="fixed"/>
      <w:tblLook w:val="04A0" w:firstRow="1" w:lastRow="0" w:firstColumn="1" w:lastColumn="0" w:noHBand="0" w:noVBand="1"/>
    </w:tblPr>
    <w:tblGrid>
      <w:gridCol w:w="1406"/>
      <w:gridCol w:w="1203"/>
      <w:gridCol w:w="1798"/>
      <w:gridCol w:w="1386"/>
    </w:tblGrid>
    <w:tr w:rsidR="00991B0C" w:rsidRPr="00396CB8" w14:paraId="18D8AB85" w14:textId="77777777" w:rsidTr="00B8768E">
      <w:trPr>
        <w:cantSplit/>
        <w:trHeight w:hRule="exact" w:val="720"/>
      </w:trPr>
      <w:tc>
        <w:tcPr>
          <w:tcW w:w="5793" w:type="dxa"/>
          <w:gridSpan w:val="4"/>
          <w:vAlign w:val="center"/>
        </w:tcPr>
        <w:p w14:paraId="75960F5F" w14:textId="50809809" w:rsidR="00991B0C" w:rsidRPr="00396CB8" w:rsidRDefault="006B15AB" w:rsidP="00991B0C">
          <w:pPr>
            <w:pStyle w:val="SOPTitle"/>
            <w:rPr>
              <w:rFonts w:ascii="Times New Roman" w:hAnsi="Times New Roman" w:cs="Times New Roman"/>
            </w:rPr>
          </w:pPr>
          <w:r>
            <w:rPr>
              <w:rFonts w:ascii="Times New Roman" w:hAnsi="Times New Roman" w:cs="Times New Roman"/>
            </w:rPr>
            <w:t xml:space="preserve">INVESTIGATOR GUIDANCE: Additional </w:t>
          </w:r>
          <w:r w:rsidR="00FA73B2">
            <w:rPr>
              <w:rFonts w:ascii="Times New Roman" w:hAnsi="Times New Roman" w:cs="Times New Roman"/>
            </w:rPr>
            <w:t>Food and Drug Administration (</w:t>
          </w:r>
          <w:r>
            <w:rPr>
              <w:rFonts w:ascii="Times New Roman" w:hAnsi="Times New Roman" w:cs="Times New Roman"/>
            </w:rPr>
            <w:t>FDA</w:t>
          </w:r>
          <w:r w:rsidR="00FA73B2">
            <w:rPr>
              <w:rFonts w:ascii="Times New Roman" w:hAnsi="Times New Roman" w:cs="Times New Roman"/>
            </w:rPr>
            <w:t>)</w:t>
          </w:r>
          <w:r>
            <w:rPr>
              <w:rFonts w:ascii="Times New Roman" w:hAnsi="Times New Roman" w:cs="Times New Roman"/>
            </w:rPr>
            <w:t xml:space="preserve"> Obligations</w:t>
          </w:r>
        </w:p>
      </w:tc>
    </w:tr>
    <w:tr w:rsidR="00991B0C" w:rsidRPr="00396CB8" w14:paraId="14A53A09" w14:textId="77777777" w:rsidTr="00B8768E">
      <w:trPr>
        <w:cantSplit/>
        <w:trHeight w:hRule="exact" w:val="280"/>
      </w:trPr>
      <w:tc>
        <w:tcPr>
          <w:tcW w:w="1406" w:type="dxa"/>
          <w:shd w:val="clear" w:color="auto" w:fill="D9D9D9" w:themeFill="background1" w:themeFillShade="D9"/>
          <w:vAlign w:val="center"/>
        </w:tcPr>
        <w:p w14:paraId="4B38D878"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Document No.:</w:t>
          </w:r>
        </w:p>
      </w:tc>
      <w:tc>
        <w:tcPr>
          <w:tcW w:w="1203" w:type="dxa"/>
          <w:shd w:val="clear" w:color="auto" w:fill="D9D9D9" w:themeFill="background1" w:themeFillShade="D9"/>
          <w:vAlign w:val="center"/>
        </w:tcPr>
        <w:p w14:paraId="5ED5548D"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Edition No.:</w:t>
          </w:r>
        </w:p>
      </w:tc>
      <w:tc>
        <w:tcPr>
          <w:tcW w:w="1798" w:type="dxa"/>
          <w:shd w:val="clear" w:color="auto" w:fill="D9D9D9" w:themeFill="background1" w:themeFillShade="D9"/>
          <w:vAlign w:val="center"/>
        </w:tcPr>
        <w:p w14:paraId="391980B6"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Effective Date:</w:t>
          </w:r>
        </w:p>
      </w:tc>
      <w:tc>
        <w:tcPr>
          <w:tcW w:w="1386" w:type="dxa"/>
          <w:shd w:val="clear" w:color="auto" w:fill="D9D9D9" w:themeFill="background1" w:themeFillShade="D9"/>
          <w:vAlign w:val="center"/>
        </w:tcPr>
        <w:p w14:paraId="226B97A4"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Page:</w:t>
          </w:r>
        </w:p>
      </w:tc>
    </w:tr>
    <w:tr w:rsidR="00991B0C" w:rsidRPr="00396CB8" w14:paraId="72966606" w14:textId="77777777" w:rsidTr="00B8768E">
      <w:trPr>
        <w:cantSplit/>
        <w:trHeight w:hRule="exact" w:val="360"/>
      </w:trPr>
      <w:tc>
        <w:tcPr>
          <w:tcW w:w="1406" w:type="dxa"/>
          <w:vAlign w:val="center"/>
        </w:tcPr>
        <w:p w14:paraId="21B01B60" w14:textId="2E57378A" w:rsidR="00991B0C" w:rsidRPr="00396CB8" w:rsidRDefault="006B15AB" w:rsidP="00991B0C">
          <w:pPr>
            <w:pStyle w:val="SOPTableItemBold"/>
            <w:rPr>
              <w:rFonts w:ascii="Times New Roman" w:hAnsi="Times New Roman" w:cs="Times New Roman"/>
              <w:sz w:val="22"/>
              <w:szCs w:val="22"/>
            </w:rPr>
          </w:pPr>
          <w:r>
            <w:rPr>
              <w:rFonts w:ascii="Times New Roman" w:hAnsi="Times New Roman" w:cs="Times New Roman"/>
              <w:sz w:val="22"/>
              <w:szCs w:val="22"/>
            </w:rPr>
            <w:t>HRP-815</w:t>
          </w:r>
        </w:p>
      </w:tc>
      <w:tc>
        <w:tcPr>
          <w:tcW w:w="1203" w:type="dxa"/>
          <w:vAlign w:val="center"/>
        </w:tcPr>
        <w:p w14:paraId="7C16FCE0" w14:textId="0E049ADF" w:rsidR="00991B0C" w:rsidRPr="00396CB8" w:rsidRDefault="006B15AB" w:rsidP="00991B0C">
          <w:pPr>
            <w:pStyle w:val="SOPTableItemBold"/>
            <w:rPr>
              <w:rFonts w:ascii="Times New Roman" w:hAnsi="Times New Roman" w:cs="Times New Roman"/>
              <w:sz w:val="22"/>
              <w:szCs w:val="22"/>
            </w:rPr>
          </w:pPr>
          <w:r>
            <w:rPr>
              <w:rFonts w:ascii="Times New Roman" w:hAnsi="Times New Roman" w:cs="Times New Roman"/>
              <w:sz w:val="22"/>
              <w:szCs w:val="22"/>
            </w:rPr>
            <w:t>00</w:t>
          </w:r>
          <w:r w:rsidR="001C3C05">
            <w:rPr>
              <w:rFonts w:ascii="Times New Roman" w:hAnsi="Times New Roman" w:cs="Times New Roman"/>
              <w:sz w:val="22"/>
              <w:szCs w:val="22"/>
            </w:rPr>
            <w:t>2</w:t>
          </w:r>
        </w:p>
      </w:tc>
      <w:tc>
        <w:tcPr>
          <w:tcW w:w="1798" w:type="dxa"/>
          <w:tcMar>
            <w:left w:w="0" w:type="dxa"/>
            <w:right w:w="0" w:type="dxa"/>
          </w:tcMar>
          <w:vAlign w:val="center"/>
        </w:tcPr>
        <w:p w14:paraId="18F016C3" w14:textId="0FC41E41" w:rsidR="00991B0C" w:rsidRPr="00396CB8" w:rsidRDefault="001C3C05" w:rsidP="00991B0C">
          <w:pPr>
            <w:pStyle w:val="SOPTableItemBold"/>
            <w:rPr>
              <w:rFonts w:ascii="Times New Roman" w:hAnsi="Times New Roman" w:cs="Times New Roman"/>
              <w:sz w:val="22"/>
              <w:szCs w:val="22"/>
            </w:rPr>
          </w:pPr>
          <w:r>
            <w:rPr>
              <w:rFonts w:ascii="Times New Roman" w:hAnsi="Times New Roman" w:cs="Times New Roman"/>
              <w:sz w:val="22"/>
              <w:szCs w:val="22"/>
            </w:rPr>
            <w:t>December 11</w:t>
          </w:r>
          <w:r w:rsidR="00563C3F">
            <w:rPr>
              <w:rFonts w:ascii="Times New Roman" w:hAnsi="Times New Roman" w:cs="Times New Roman"/>
              <w:sz w:val="22"/>
              <w:szCs w:val="22"/>
            </w:rPr>
            <w:t>, 2020</w:t>
          </w:r>
        </w:p>
      </w:tc>
      <w:tc>
        <w:tcPr>
          <w:tcW w:w="1386" w:type="dxa"/>
          <w:vAlign w:val="center"/>
        </w:tcPr>
        <w:p w14:paraId="4DA5F435" w14:textId="797A5A81" w:rsidR="00991B0C" w:rsidRPr="00396CB8" w:rsidRDefault="006B15AB" w:rsidP="00991B0C">
          <w:pPr>
            <w:pStyle w:val="SOPTableItemBold"/>
            <w:rPr>
              <w:rFonts w:ascii="Times New Roman" w:hAnsi="Times New Roman" w:cs="Times New Roman"/>
              <w:sz w:val="22"/>
              <w:szCs w:val="22"/>
            </w:rPr>
          </w:pPr>
          <w:r w:rsidRPr="006B15AB">
            <w:rPr>
              <w:rFonts w:ascii="Times New Roman" w:hAnsi="Times New Roman" w:cs="Times New Roman"/>
              <w:sz w:val="22"/>
              <w:szCs w:val="22"/>
            </w:rPr>
            <w:t xml:space="preserve">Page </w:t>
          </w:r>
          <w:r w:rsidRPr="006B15AB">
            <w:rPr>
              <w:rFonts w:ascii="Times New Roman" w:hAnsi="Times New Roman" w:cs="Times New Roman"/>
              <w:sz w:val="22"/>
              <w:szCs w:val="22"/>
            </w:rPr>
            <w:fldChar w:fldCharType="begin"/>
          </w:r>
          <w:r w:rsidRPr="006B15AB">
            <w:rPr>
              <w:rFonts w:ascii="Times New Roman" w:hAnsi="Times New Roman" w:cs="Times New Roman"/>
              <w:sz w:val="22"/>
              <w:szCs w:val="22"/>
            </w:rPr>
            <w:instrText xml:space="preserve"> PAGE  \* Arabic  \* MERGEFORMAT </w:instrText>
          </w:r>
          <w:r w:rsidRPr="006B15AB">
            <w:rPr>
              <w:rFonts w:ascii="Times New Roman" w:hAnsi="Times New Roman" w:cs="Times New Roman"/>
              <w:sz w:val="22"/>
              <w:szCs w:val="22"/>
            </w:rPr>
            <w:fldChar w:fldCharType="separate"/>
          </w:r>
          <w:r w:rsidR="00FA73B2">
            <w:rPr>
              <w:rFonts w:ascii="Times New Roman" w:hAnsi="Times New Roman" w:cs="Times New Roman"/>
              <w:sz w:val="22"/>
              <w:szCs w:val="22"/>
            </w:rPr>
            <w:t>11</w:t>
          </w:r>
          <w:r w:rsidRPr="006B15AB">
            <w:rPr>
              <w:rFonts w:ascii="Times New Roman" w:hAnsi="Times New Roman" w:cs="Times New Roman"/>
              <w:sz w:val="22"/>
              <w:szCs w:val="22"/>
            </w:rPr>
            <w:fldChar w:fldCharType="end"/>
          </w:r>
          <w:r w:rsidRPr="006B15AB">
            <w:rPr>
              <w:rFonts w:ascii="Times New Roman" w:hAnsi="Times New Roman" w:cs="Times New Roman"/>
              <w:sz w:val="22"/>
              <w:szCs w:val="22"/>
            </w:rPr>
            <w:t xml:space="preserve"> of </w:t>
          </w:r>
          <w:r w:rsidRPr="006B15AB">
            <w:rPr>
              <w:rFonts w:ascii="Times New Roman" w:hAnsi="Times New Roman" w:cs="Times New Roman"/>
              <w:sz w:val="22"/>
              <w:szCs w:val="22"/>
            </w:rPr>
            <w:fldChar w:fldCharType="begin"/>
          </w:r>
          <w:r w:rsidRPr="006B15AB">
            <w:rPr>
              <w:rFonts w:ascii="Times New Roman" w:hAnsi="Times New Roman" w:cs="Times New Roman"/>
              <w:sz w:val="22"/>
              <w:szCs w:val="22"/>
            </w:rPr>
            <w:instrText xml:space="preserve"> NUMPAGES  \* Arabic  \* MERGEFORMAT </w:instrText>
          </w:r>
          <w:r w:rsidRPr="006B15AB">
            <w:rPr>
              <w:rFonts w:ascii="Times New Roman" w:hAnsi="Times New Roman" w:cs="Times New Roman"/>
              <w:sz w:val="22"/>
              <w:szCs w:val="22"/>
            </w:rPr>
            <w:fldChar w:fldCharType="separate"/>
          </w:r>
          <w:r w:rsidR="00FA73B2">
            <w:rPr>
              <w:rFonts w:ascii="Times New Roman" w:hAnsi="Times New Roman" w:cs="Times New Roman"/>
              <w:sz w:val="22"/>
              <w:szCs w:val="22"/>
            </w:rPr>
            <w:t>11</w:t>
          </w:r>
          <w:r w:rsidRPr="006B15AB">
            <w:rPr>
              <w:rFonts w:ascii="Times New Roman" w:hAnsi="Times New Roman" w:cs="Times New Roman"/>
              <w:sz w:val="22"/>
              <w:szCs w:val="22"/>
            </w:rPr>
            <w:fldChar w:fldCharType="end"/>
          </w:r>
        </w:p>
      </w:tc>
    </w:tr>
  </w:tbl>
  <w:p w14:paraId="5D286988" w14:textId="1EB669A2" w:rsidR="00C1774D" w:rsidRPr="00396CB8" w:rsidRDefault="00B8768E">
    <w:pPr>
      <w:pStyle w:val="Head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56FF2D7D" wp14:editId="41887650">
          <wp:simplePos x="0" y="0"/>
          <wp:positionH relativeFrom="margin">
            <wp:posOffset>-371475</wp:posOffset>
          </wp:positionH>
          <wp:positionV relativeFrom="paragraph">
            <wp:posOffset>-865505</wp:posOffset>
          </wp:positionV>
          <wp:extent cx="2357120" cy="871855"/>
          <wp:effectExtent l="0" t="0" r="5080" b="4445"/>
          <wp:wrapNone/>
          <wp:docPr id="6" name="Picture 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7120" cy="8718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243A1"/>
    <w:multiLevelType w:val="hybridMultilevel"/>
    <w:tmpl w:val="86E4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EC17CC"/>
    <w:multiLevelType w:val="hybridMultilevel"/>
    <w:tmpl w:val="452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2"/>
    </w:lvlOverride>
    <w:lvlOverride w:ilvl="1">
      <w:startOverride w:val="6"/>
    </w:lvlOverride>
    <w:lvlOverride w:ilvl="2">
      <w:startOverride w:val="1"/>
    </w:lvlOverride>
    <w:lvlOverride w:ilvl="3">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4D"/>
    <w:rsid w:val="00003735"/>
    <w:rsid w:val="00012CB8"/>
    <w:rsid w:val="00092E47"/>
    <w:rsid w:val="000B5544"/>
    <w:rsid w:val="000C49C3"/>
    <w:rsid w:val="000D2956"/>
    <w:rsid w:val="000D6F33"/>
    <w:rsid w:val="00107AA8"/>
    <w:rsid w:val="0011231D"/>
    <w:rsid w:val="00150E16"/>
    <w:rsid w:val="0019758F"/>
    <w:rsid w:val="001C3C05"/>
    <w:rsid w:val="001C4160"/>
    <w:rsid w:val="002029FA"/>
    <w:rsid w:val="00203B9E"/>
    <w:rsid w:val="0021124D"/>
    <w:rsid w:val="002152EE"/>
    <w:rsid w:val="00233E08"/>
    <w:rsid w:val="00261328"/>
    <w:rsid w:val="002E2DD3"/>
    <w:rsid w:val="002F0BE0"/>
    <w:rsid w:val="0032157D"/>
    <w:rsid w:val="003926DD"/>
    <w:rsid w:val="00396CB8"/>
    <w:rsid w:val="003F14F4"/>
    <w:rsid w:val="00400589"/>
    <w:rsid w:val="0042257F"/>
    <w:rsid w:val="0044121B"/>
    <w:rsid w:val="00453A7F"/>
    <w:rsid w:val="004735AA"/>
    <w:rsid w:val="00474FC8"/>
    <w:rsid w:val="00484DAA"/>
    <w:rsid w:val="00533CB3"/>
    <w:rsid w:val="00541DC0"/>
    <w:rsid w:val="00544F48"/>
    <w:rsid w:val="00557C13"/>
    <w:rsid w:val="00563C3F"/>
    <w:rsid w:val="00577C99"/>
    <w:rsid w:val="005A25D2"/>
    <w:rsid w:val="005B7AC9"/>
    <w:rsid w:val="005C5871"/>
    <w:rsid w:val="005F6F43"/>
    <w:rsid w:val="00616880"/>
    <w:rsid w:val="00683A31"/>
    <w:rsid w:val="00694346"/>
    <w:rsid w:val="006B15AB"/>
    <w:rsid w:val="00712746"/>
    <w:rsid w:val="00723C6E"/>
    <w:rsid w:val="0079519A"/>
    <w:rsid w:val="00851442"/>
    <w:rsid w:val="008703F7"/>
    <w:rsid w:val="00871196"/>
    <w:rsid w:val="0089521A"/>
    <w:rsid w:val="008C0A14"/>
    <w:rsid w:val="008C1ACF"/>
    <w:rsid w:val="008D53A5"/>
    <w:rsid w:val="008D62A8"/>
    <w:rsid w:val="008D7DE1"/>
    <w:rsid w:val="008F2BF5"/>
    <w:rsid w:val="0090007E"/>
    <w:rsid w:val="00913C2F"/>
    <w:rsid w:val="00937018"/>
    <w:rsid w:val="00944B6C"/>
    <w:rsid w:val="009549FE"/>
    <w:rsid w:val="00980DFB"/>
    <w:rsid w:val="00991B0C"/>
    <w:rsid w:val="009A134C"/>
    <w:rsid w:val="009B568B"/>
    <w:rsid w:val="009C30FA"/>
    <w:rsid w:val="00A6433F"/>
    <w:rsid w:val="00A95528"/>
    <w:rsid w:val="00AB2583"/>
    <w:rsid w:val="00AB3E01"/>
    <w:rsid w:val="00AD7031"/>
    <w:rsid w:val="00B03E23"/>
    <w:rsid w:val="00B207FA"/>
    <w:rsid w:val="00B3272C"/>
    <w:rsid w:val="00B37141"/>
    <w:rsid w:val="00B74954"/>
    <w:rsid w:val="00B766C5"/>
    <w:rsid w:val="00B8768E"/>
    <w:rsid w:val="00BC32A8"/>
    <w:rsid w:val="00BC4C0C"/>
    <w:rsid w:val="00BD3CB7"/>
    <w:rsid w:val="00C1774D"/>
    <w:rsid w:val="00C44053"/>
    <w:rsid w:val="00C760DE"/>
    <w:rsid w:val="00C95724"/>
    <w:rsid w:val="00C961E4"/>
    <w:rsid w:val="00D03813"/>
    <w:rsid w:val="00D20FF4"/>
    <w:rsid w:val="00D96606"/>
    <w:rsid w:val="00DE1B22"/>
    <w:rsid w:val="00E27B2E"/>
    <w:rsid w:val="00E7006C"/>
    <w:rsid w:val="00E7213F"/>
    <w:rsid w:val="00E85885"/>
    <w:rsid w:val="00E909EF"/>
    <w:rsid w:val="00E94B3A"/>
    <w:rsid w:val="00EC607D"/>
    <w:rsid w:val="00ED6AC2"/>
    <w:rsid w:val="00EE4062"/>
    <w:rsid w:val="00EE69B5"/>
    <w:rsid w:val="00EF583E"/>
    <w:rsid w:val="00EF7378"/>
    <w:rsid w:val="00F2134F"/>
    <w:rsid w:val="00F33870"/>
    <w:rsid w:val="00F64E7D"/>
    <w:rsid w:val="00F81ACF"/>
    <w:rsid w:val="00F82333"/>
    <w:rsid w:val="00FA73B2"/>
    <w:rsid w:val="00FD483D"/>
    <w:rsid w:val="0AD7D162"/>
    <w:rsid w:val="0F32320A"/>
    <w:rsid w:val="2C6E0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9DDC"/>
  <w15:chartTrackingRefBased/>
  <w15:docId w15:val="{4CD598FE-2D0B-4910-8381-D89F52E9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4D"/>
  </w:style>
  <w:style w:type="paragraph" w:styleId="Footer">
    <w:name w:val="footer"/>
    <w:basedOn w:val="Normal"/>
    <w:link w:val="FooterChar"/>
    <w:uiPriority w:val="99"/>
    <w:unhideWhenUsed/>
    <w:rsid w:val="00C1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4D"/>
  </w:style>
  <w:style w:type="table" w:styleId="TableGrid">
    <w:name w:val="Table Grid"/>
    <w:basedOn w:val="TableNormal"/>
    <w:uiPriority w:val="39"/>
    <w:rsid w:val="00C1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TableHeader">
    <w:name w:val="SOP Table Header"/>
    <w:basedOn w:val="Normal"/>
    <w:qFormat/>
    <w:rsid w:val="00FD483D"/>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FD483D"/>
    <w:pPr>
      <w:spacing w:after="0" w:line="240" w:lineRule="auto"/>
      <w:jc w:val="center"/>
    </w:pPr>
    <w:rPr>
      <w:rFonts w:ascii="Arial" w:hAnsi="Arial" w:cs="Arial"/>
      <w:b/>
      <w:noProof/>
      <w:color w:val="000000"/>
      <w:sz w:val="20"/>
      <w:szCs w:val="20"/>
    </w:rPr>
  </w:style>
  <w:style w:type="paragraph" w:customStyle="1" w:styleId="SOPTitle">
    <w:name w:val="SOP Title"/>
    <w:basedOn w:val="Normal"/>
    <w:next w:val="Normal"/>
    <w:qFormat/>
    <w:rsid w:val="00FD483D"/>
    <w:pPr>
      <w:spacing w:after="0" w:line="240" w:lineRule="auto"/>
    </w:pPr>
    <w:rPr>
      <w:rFonts w:ascii="Arial" w:hAnsi="Arial" w:cs="Arial"/>
      <w:b/>
      <w:bCs/>
      <w:sz w:val="28"/>
      <w:szCs w:val="28"/>
    </w:rPr>
  </w:style>
  <w:style w:type="character" w:styleId="Hyperlink">
    <w:name w:val="Hyperlink"/>
    <w:basedOn w:val="DefaultParagraphFont"/>
    <w:uiPriority w:val="99"/>
    <w:unhideWhenUsed/>
    <w:rsid w:val="00F81ACF"/>
    <w:rPr>
      <w:color w:val="0563C1" w:themeColor="hyperlink"/>
      <w:u w:val="single"/>
    </w:rPr>
  </w:style>
  <w:style w:type="paragraph" w:styleId="ListParagraph">
    <w:name w:val="List Paragraph"/>
    <w:basedOn w:val="Normal"/>
    <w:uiPriority w:val="34"/>
    <w:qFormat/>
    <w:rsid w:val="00F81ACF"/>
    <w:pPr>
      <w:spacing w:after="200" w:line="276" w:lineRule="auto"/>
      <w:ind w:left="720"/>
      <w:contextualSpacing/>
    </w:pPr>
  </w:style>
  <w:style w:type="paragraph" w:customStyle="1" w:styleId="SOPLevel1">
    <w:name w:val="SOP Level 1"/>
    <w:basedOn w:val="Normal"/>
    <w:qFormat/>
    <w:rsid w:val="00F81ACF"/>
    <w:pPr>
      <w:numPr>
        <w:numId w:val="1"/>
      </w:numPr>
      <w:spacing w:before="120" w:after="120" w:line="240" w:lineRule="auto"/>
    </w:pPr>
    <w:rPr>
      <w:rFonts w:ascii="Arial" w:hAnsi="Arial" w:cs="Arial"/>
      <w:b/>
      <w:sz w:val="28"/>
      <w:szCs w:val="20"/>
    </w:rPr>
  </w:style>
  <w:style w:type="paragraph" w:customStyle="1" w:styleId="SOPLevel2">
    <w:name w:val="SOP Level 2"/>
    <w:basedOn w:val="Normal"/>
    <w:qFormat/>
    <w:rsid w:val="00F81ACF"/>
    <w:pPr>
      <w:numPr>
        <w:ilvl w:val="1"/>
        <w:numId w:val="1"/>
      </w:numPr>
      <w:spacing w:before="120" w:after="120" w:line="240" w:lineRule="auto"/>
      <w:contextualSpacing/>
    </w:pPr>
    <w:rPr>
      <w:rFonts w:ascii="Arial" w:hAnsi="Arial" w:cs="Arial"/>
      <w:sz w:val="20"/>
      <w:szCs w:val="20"/>
    </w:rPr>
  </w:style>
  <w:style w:type="paragraph" w:customStyle="1" w:styleId="SOPLevel3">
    <w:name w:val="SOP Level 3"/>
    <w:basedOn w:val="Normal"/>
    <w:qFormat/>
    <w:rsid w:val="00F81ACF"/>
    <w:pPr>
      <w:numPr>
        <w:ilvl w:val="2"/>
        <w:numId w:val="1"/>
      </w:numPr>
      <w:spacing w:before="120" w:after="120" w:line="240" w:lineRule="auto"/>
      <w:contextualSpacing/>
    </w:pPr>
    <w:rPr>
      <w:rFonts w:ascii="Arial" w:hAnsi="Arial" w:cs="Arial"/>
      <w:sz w:val="20"/>
      <w:szCs w:val="20"/>
    </w:rPr>
  </w:style>
  <w:style w:type="paragraph" w:customStyle="1" w:styleId="SOPLevel4">
    <w:name w:val="SOP Level 4"/>
    <w:basedOn w:val="Normal"/>
    <w:qFormat/>
    <w:rsid w:val="00F81ACF"/>
    <w:pPr>
      <w:numPr>
        <w:ilvl w:val="3"/>
        <w:numId w:val="1"/>
      </w:numPr>
      <w:tabs>
        <w:tab w:val="clear" w:pos="5940"/>
      </w:tabs>
      <w:spacing w:before="120" w:after="120" w:line="240" w:lineRule="auto"/>
      <w:ind w:left="3168"/>
      <w:contextualSpacing/>
    </w:pPr>
    <w:rPr>
      <w:rFonts w:ascii="Arial" w:hAnsi="Arial" w:cs="Arial"/>
      <w:sz w:val="20"/>
      <w:szCs w:val="20"/>
    </w:rPr>
  </w:style>
  <w:style w:type="paragraph" w:customStyle="1" w:styleId="SOPLevel5">
    <w:name w:val="SOP Level 5"/>
    <w:basedOn w:val="Normal"/>
    <w:qFormat/>
    <w:rsid w:val="00F81ACF"/>
    <w:pPr>
      <w:numPr>
        <w:ilvl w:val="4"/>
        <w:numId w:val="1"/>
      </w:numPr>
      <w:tabs>
        <w:tab w:val="clear" w:pos="4230"/>
      </w:tabs>
      <w:spacing w:before="120" w:after="120" w:line="240" w:lineRule="auto"/>
      <w:ind w:left="4032" w:hanging="1152"/>
      <w:contextualSpacing/>
    </w:pPr>
    <w:rPr>
      <w:rFonts w:ascii="Arial" w:hAnsi="Arial" w:cs="Arial"/>
      <w:sz w:val="20"/>
      <w:szCs w:val="20"/>
    </w:rPr>
  </w:style>
  <w:style w:type="paragraph" w:customStyle="1" w:styleId="SOPLevel6">
    <w:name w:val="SOP Level 6"/>
    <w:basedOn w:val="Normal"/>
    <w:qFormat/>
    <w:rsid w:val="00F81ACF"/>
    <w:pPr>
      <w:numPr>
        <w:ilvl w:val="5"/>
        <w:numId w:val="1"/>
      </w:numPr>
      <w:tabs>
        <w:tab w:val="clear" w:pos="4608"/>
      </w:tabs>
      <w:spacing w:before="120" w:after="120" w:line="240" w:lineRule="auto"/>
      <w:ind w:left="5184" w:hanging="1152"/>
      <w:contextualSpacing/>
    </w:pPr>
    <w:rPr>
      <w:rFonts w:ascii="Arial" w:hAnsi="Arial" w:cs="Arial"/>
      <w:sz w:val="20"/>
      <w:szCs w:val="20"/>
    </w:rPr>
  </w:style>
  <w:style w:type="paragraph" w:styleId="FootnoteText">
    <w:name w:val="footnote text"/>
    <w:basedOn w:val="Normal"/>
    <w:link w:val="FootnoteTextChar"/>
    <w:uiPriority w:val="99"/>
    <w:semiHidden/>
    <w:unhideWhenUsed/>
    <w:rsid w:val="00F81A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ACF"/>
    <w:rPr>
      <w:sz w:val="20"/>
      <w:szCs w:val="20"/>
    </w:rPr>
  </w:style>
  <w:style w:type="character" w:styleId="FootnoteReference">
    <w:name w:val="footnote reference"/>
    <w:basedOn w:val="DefaultParagraphFont"/>
    <w:uiPriority w:val="99"/>
    <w:semiHidden/>
    <w:unhideWhenUsed/>
    <w:rsid w:val="00F81ACF"/>
    <w:rPr>
      <w:vertAlign w:val="superscript"/>
    </w:rPr>
  </w:style>
  <w:style w:type="character" w:styleId="CommentReference">
    <w:name w:val="annotation reference"/>
    <w:basedOn w:val="DefaultParagraphFont"/>
    <w:uiPriority w:val="99"/>
    <w:semiHidden/>
    <w:unhideWhenUsed/>
    <w:rsid w:val="00FA73B2"/>
    <w:rPr>
      <w:sz w:val="16"/>
      <w:szCs w:val="16"/>
    </w:rPr>
  </w:style>
  <w:style w:type="paragraph" w:styleId="CommentText">
    <w:name w:val="annotation text"/>
    <w:basedOn w:val="Normal"/>
    <w:link w:val="CommentTextChar"/>
    <w:uiPriority w:val="99"/>
    <w:semiHidden/>
    <w:unhideWhenUsed/>
    <w:rsid w:val="00FA73B2"/>
    <w:pPr>
      <w:spacing w:line="240" w:lineRule="auto"/>
    </w:pPr>
    <w:rPr>
      <w:sz w:val="20"/>
      <w:szCs w:val="20"/>
    </w:rPr>
  </w:style>
  <w:style w:type="character" w:customStyle="1" w:styleId="CommentTextChar">
    <w:name w:val="Comment Text Char"/>
    <w:basedOn w:val="DefaultParagraphFont"/>
    <w:link w:val="CommentText"/>
    <w:uiPriority w:val="99"/>
    <w:semiHidden/>
    <w:rsid w:val="00FA73B2"/>
    <w:rPr>
      <w:sz w:val="20"/>
      <w:szCs w:val="20"/>
    </w:rPr>
  </w:style>
  <w:style w:type="paragraph" w:styleId="CommentSubject">
    <w:name w:val="annotation subject"/>
    <w:basedOn w:val="CommentText"/>
    <w:next w:val="CommentText"/>
    <w:link w:val="CommentSubjectChar"/>
    <w:uiPriority w:val="99"/>
    <w:semiHidden/>
    <w:unhideWhenUsed/>
    <w:rsid w:val="00FA73B2"/>
    <w:rPr>
      <w:b/>
      <w:bCs/>
    </w:rPr>
  </w:style>
  <w:style w:type="character" w:customStyle="1" w:styleId="CommentSubjectChar">
    <w:name w:val="Comment Subject Char"/>
    <w:basedOn w:val="CommentTextChar"/>
    <w:link w:val="CommentSubject"/>
    <w:uiPriority w:val="99"/>
    <w:semiHidden/>
    <w:rsid w:val="00FA73B2"/>
    <w:rPr>
      <w:b/>
      <w:bCs/>
      <w:sz w:val="20"/>
      <w:szCs w:val="20"/>
    </w:rPr>
  </w:style>
  <w:style w:type="paragraph" w:styleId="BalloonText">
    <w:name w:val="Balloon Text"/>
    <w:basedOn w:val="Normal"/>
    <w:link w:val="BalloonTextChar"/>
    <w:uiPriority w:val="99"/>
    <w:semiHidden/>
    <w:unhideWhenUsed/>
    <w:rsid w:val="00FA7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3B2"/>
    <w:rPr>
      <w:rFonts w:ascii="Segoe UI" w:hAnsi="Segoe UI" w:cs="Segoe UI"/>
      <w:sz w:val="18"/>
      <w:szCs w:val="18"/>
    </w:rPr>
  </w:style>
  <w:style w:type="character" w:styleId="UnresolvedMention">
    <w:name w:val="Unresolved Mention"/>
    <w:basedOn w:val="DefaultParagraphFont"/>
    <w:uiPriority w:val="99"/>
    <w:semiHidden/>
    <w:unhideWhenUsed/>
    <w:rsid w:val="0011231D"/>
    <w:rPr>
      <w:color w:val="605E5C"/>
      <w:shd w:val="clear" w:color="auto" w:fill="E1DFDD"/>
    </w:rPr>
  </w:style>
  <w:style w:type="character" w:styleId="FollowedHyperlink">
    <w:name w:val="FollowedHyperlink"/>
    <w:basedOn w:val="DefaultParagraphFont"/>
    <w:uiPriority w:val="99"/>
    <w:semiHidden/>
    <w:unhideWhenUsed/>
    <w:rsid w:val="008F2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text-idx?SID=3fa61ca3db14b8d0e42b9f28579bcc40&amp;mc=true&amp;node=pt21.8.812&amp;rgn=div5" TargetMode="External"/><Relationship Id="rId18" Type="http://schemas.openxmlformats.org/officeDocument/2006/relationships/hyperlink" Target="https://www.ecfr.gov/cgi-bin/text-idx?SID=75bb2e4e3339aaaa23d7ab9c033a9556&amp;mc=true&amp;node=se21.5.312_162&amp;rgn=div8" TargetMode="External"/><Relationship Id="rId26" Type="http://schemas.openxmlformats.org/officeDocument/2006/relationships/hyperlink" Target="https://www.ecfr.gov/cgi-bin/text-idx?SID=75bb2e4e3339aaaa23d7ab9c033a9556&amp;mc=true&amp;node=se21.5.312_169&amp;rgn=div8" TargetMode="External"/><Relationship Id="rId3" Type="http://schemas.openxmlformats.org/officeDocument/2006/relationships/customXml" Target="../customXml/item3.xml"/><Relationship Id="rId21" Type="http://schemas.openxmlformats.org/officeDocument/2006/relationships/hyperlink" Target="https://www.ecfr.gov/cgi-bin/text-idx?SID=75bb2e4e3339aaaa23d7ab9c033a9556&amp;mc=true&amp;node=se21.5.312_161&amp;rgn=div8"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cfr.gov/cgi-bin/text-idx?SID=3fa61ca3db14b8d0e42b9f28579bcc40&amp;mc=true&amp;node=se21.8.801_11&amp;rgn=div8" TargetMode="External"/><Relationship Id="rId17" Type="http://schemas.openxmlformats.org/officeDocument/2006/relationships/hyperlink" Target="https://www.ecfr.gov/cgi-bin/text-idx?SID=75bb2e4e3339aaaa23d7ab9c033a9556&amp;mc=true&amp;node=se21.8.812_1150&amp;rgn=div8" TargetMode="External"/><Relationship Id="rId25" Type="http://schemas.openxmlformats.org/officeDocument/2006/relationships/hyperlink" Target="https://www.ecfr.gov/cgi-bin/text-idx?SID=75bb2e4e3339aaaa23d7ab9c033a9556&amp;mc=true&amp;node=se21.5.312_168&amp;rgn=div8" TargetMode="External"/><Relationship Id="rId33" Type="http://schemas.openxmlformats.org/officeDocument/2006/relationships/hyperlink" Target="https://www.ecfr.gov/cgi-bin/text-idx?SID=75bb2e4e3339aaaa23d7ab9c033a9556&amp;mc=true&amp;node=se21.8.812_146&amp;rgn=div8" TargetMode="External"/><Relationship Id="rId2" Type="http://schemas.openxmlformats.org/officeDocument/2006/relationships/customXml" Target="../customXml/item2.xml"/><Relationship Id="rId16" Type="http://schemas.openxmlformats.org/officeDocument/2006/relationships/hyperlink" Target="https://www.ecfr.gov/cgi-bin/text-idx?SID=75bb2e4e3339aaaa23d7ab9c033a9556&amp;mc=true&amp;node=se21.8.812_1140&amp;rgn=div8" TargetMode="External"/><Relationship Id="rId20" Type="http://schemas.openxmlformats.org/officeDocument/2006/relationships/hyperlink" Target="https://www.ecfr.gov/cgi-bin/text-idx?SID=75bb2e4e3339aaaa23d7ab9c033a9556&amp;mc=true&amp;node=se21.5.312_160&amp;rgn=div8" TargetMode="External"/><Relationship Id="rId29" Type="http://schemas.openxmlformats.org/officeDocument/2006/relationships/hyperlink" Target="https://www.ecfr.gov/cgi-bin/text-idx?SID=75bb2e4e3339aaaa23d7ab9c033a9556&amp;mc=true&amp;node=se21.8.812_140&amp;rgn=div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exel.edu/~/media/BFAA4485BFEB40EEB13043945131DF64.ashx" TargetMode="External"/><Relationship Id="rId24" Type="http://schemas.openxmlformats.org/officeDocument/2006/relationships/hyperlink" Target="https://www.ecfr.gov/cgi-bin/text-idx?SID=75bb2e4e3339aaaa23d7ab9c033a9556&amp;mc=true&amp;node=se21.5.312_166&amp;rgn=div8" TargetMode="External"/><Relationship Id="rId32" Type="http://schemas.openxmlformats.org/officeDocument/2006/relationships/hyperlink" Target="https://www.ecfr.gov/cgi-bin/text-idx?SID=75bb2e4e3339aaaa23d7ab9c033a9556&amp;mc=true&amp;node=se21.8.812_145&amp;rgn=div8"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cfr.gov/cgi-bin/text-idx?SID=75bb2e4e3339aaaa23d7ab9c033a9556&amp;mc=true&amp;node=se21.8.812_1150&amp;rgn=div8" TargetMode="External"/><Relationship Id="rId23" Type="http://schemas.openxmlformats.org/officeDocument/2006/relationships/hyperlink" Target="https://www.ecfr.gov/cgi-bin/text-idx?SID=75bb2e4e3339aaaa23d7ab9c033a9556&amp;mc=true&amp;node=se21.5.312_164&amp;rgn=div8" TargetMode="External"/><Relationship Id="rId28" Type="http://schemas.openxmlformats.org/officeDocument/2006/relationships/hyperlink" Target="https://www.ecfr.gov/cgi-bin/text-idx?SID=75bb2e4e3339aaaa23d7ab9c033a9556&amp;mc=true&amp;node=se21.5.312_1305&amp;rgn=div8" TargetMode="External"/><Relationship Id="rId36" Type="http://schemas.openxmlformats.org/officeDocument/2006/relationships/fontTable" Target="fontTable.xml"/><Relationship Id="rId10" Type="http://schemas.openxmlformats.org/officeDocument/2006/relationships/hyperlink" Target="https://drexel.edu/~/media/87C48D4D3EC94EA58FD636F614C44B32.ashx" TargetMode="External"/><Relationship Id="rId19" Type="http://schemas.openxmlformats.org/officeDocument/2006/relationships/hyperlink" Target="https://www.ecfr.gov/cgi-bin/text-idx?SID=75bb2e4e3339aaaa23d7ab9c033a9556&amp;mc=true&amp;tpl=/ecfrbrowse/Title21/21tab_02.tpl" TargetMode="External"/><Relationship Id="rId31" Type="http://schemas.openxmlformats.org/officeDocument/2006/relationships/hyperlink" Target="https://www.ecfr.gov/cgi-bin/text-idx?SID=75bb2e4e3339aaaa23d7ab9c033a9556&amp;mc=true&amp;node=se21.8.812_143&amp;rgn=div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75bb2e4e3339aaaa23d7ab9c033a9556&amp;mc=true&amp;node=se21.8.812_1140&amp;rgn=div8" TargetMode="External"/><Relationship Id="rId22" Type="http://schemas.openxmlformats.org/officeDocument/2006/relationships/hyperlink" Target="https://www.ecfr.gov/cgi-bin/text-idx?SID=75bb2e4e3339aaaa23d7ab9c033a9556&amp;mc=true&amp;node=se21.5.312_162&amp;rgn=div8" TargetMode="External"/><Relationship Id="rId27" Type="http://schemas.openxmlformats.org/officeDocument/2006/relationships/hyperlink" Target="https://www.ecfr.gov/cgi-bin/text-idx?SID=75bb2e4e3339aaaa23d7ab9c033a9556&amp;mc=true&amp;node=se21.5.312_1300&amp;rgn=div8" TargetMode="External"/><Relationship Id="rId30" Type="http://schemas.openxmlformats.org/officeDocument/2006/relationships/hyperlink" Target="https://www.ecfr.gov/cgi-bin/text-idx?SID=75bb2e4e3339aaaa23d7ab9c033a9556&amp;mc=true&amp;node=se21.8.812_142&amp;rgn=div8"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09addef-a496-44fa-9cff-943630a3e9f0">
      <UserInfo>
        <DisplayName/>
        <AccountId xsi:nil="true"/>
        <AccountType/>
      </UserInfo>
    </SharedWithUsers>
  </documentManagement>
</p:properties>
</file>

<file path=customXml/itemProps1.xml><?xml version="1.0" encoding="utf-8"?>
<ds:datastoreItem xmlns:ds="http://schemas.openxmlformats.org/officeDocument/2006/customXml" ds:itemID="{26CACCBE-8E2C-41B3-89B7-C025D5FD3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6A4D0-874D-45EE-8A60-918B24D45B20}">
  <ds:schemaRefs>
    <ds:schemaRef ds:uri="http://schemas.microsoft.com/sharepoint/v3/contenttype/forms"/>
  </ds:schemaRefs>
</ds:datastoreItem>
</file>

<file path=customXml/itemProps3.xml><?xml version="1.0" encoding="utf-8"?>
<ds:datastoreItem xmlns:ds="http://schemas.openxmlformats.org/officeDocument/2006/customXml" ds:itemID="{2FD88998-1480-4D58-80CC-D5BC65772C9D}">
  <ds:schemaRefs>
    <ds:schemaRef ds:uri="http://schemas.microsoft.com/office/2006/metadata/properties"/>
    <ds:schemaRef ds:uri="http://schemas.microsoft.com/office/infopath/2007/PartnerControls"/>
    <ds:schemaRef ds:uri="309addef-a496-44fa-9cff-943630a3e9f0"/>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11</Pages>
  <Words>3932</Words>
  <Characters>22413</Characters>
  <Application>Microsoft Office Word</Application>
  <DocSecurity>0</DocSecurity>
  <Lines>186</Lines>
  <Paragraphs>52</Paragraphs>
  <ScaleCrop>false</ScaleCrop>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Keon,Ryan</dc:creator>
  <cp:keywords/>
  <dc:description/>
  <cp:lastModifiedBy>McClung,Kirstie</cp:lastModifiedBy>
  <cp:revision>58</cp:revision>
  <dcterms:created xsi:type="dcterms:W3CDTF">2020-10-28T17:35:00Z</dcterms:created>
  <dcterms:modified xsi:type="dcterms:W3CDTF">2020-12-08T22:13:00Z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y fmtid="{D5CDD505-2E9C-101B-9397-08002B2CF9AE}" pid="3" name="Order">
    <vt:r8>13200</vt:r8>
  </property>
  <property fmtid="{D5CDD505-2E9C-101B-9397-08002B2CF9AE}" pid="4" name="ComplianceAssetId">
    <vt:lpwstr/>
  </property>
</Properties>
</file>